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BB92" w14:textId="3E5BF59A" w:rsidR="00A86D4B" w:rsidRPr="003B7EA4" w:rsidRDefault="002561B4" w:rsidP="00D12272">
      <w:pPr>
        <w:jc w:val="center"/>
        <w:rPr>
          <w:b/>
          <w:sz w:val="28"/>
        </w:rPr>
      </w:pPr>
      <w:r w:rsidRPr="003B7EA4">
        <w:rPr>
          <w:b/>
          <w:sz w:val="28"/>
        </w:rPr>
        <w:t>Cost of Housing</w:t>
      </w:r>
    </w:p>
    <w:p w14:paraId="1E9CD525" w14:textId="4C2685BB" w:rsidR="00D12272" w:rsidRDefault="007448AB" w:rsidP="00D12272">
      <w:pPr>
        <w:rPr>
          <w:b/>
          <w:sz w:val="24"/>
        </w:rPr>
      </w:pPr>
      <w:r>
        <w:rPr>
          <w:b/>
          <w:sz w:val="24"/>
        </w:rPr>
        <w:t>Average house prices</w:t>
      </w:r>
    </w:p>
    <w:p w14:paraId="0425EF5C" w14:textId="3AF5C01B" w:rsidR="00D12272" w:rsidRDefault="00C44510" w:rsidP="00C44510">
      <w:pPr>
        <w:rPr>
          <w:sz w:val="24"/>
        </w:rPr>
      </w:pPr>
      <w:r>
        <w:rPr>
          <w:sz w:val="24"/>
        </w:rPr>
        <w:t>In July 2018, t</w:t>
      </w:r>
      <w:r w:rsidR="005E4EE0" w:rsidRPr="00C44510">
        <w:rPr>
          <w:sz w:val="24"/>
        </w:rPr>
        <w:t xml:space="preserve">he average price for a house in Berkshire </w:t>
      </w:r>
      <w:r>
        <w:rPr>
          <w:sz w:val="24"/>
        </w:rPr>
        <w:t>was</w:t>
      </w:r>
      <w:r w:rsidR="005E4EE0" w:rsidRPr="00C44510">
        <w:rPr>
          <w:sz w:val="24"/>
        </w:rPr>
        <w:t xml:space="preserve"> £373,616</w:t>
      </w:r>
      <w:r>
        <w:rPr>
          <w:sz w:val="24"/>
        </w:rPr>
        <w:t xml:space="preserve">.  This was the </w:t>
      </w:r>
      <w:r w:rsidR="005E4EE0" w:rsidRPr="00C44510">
        <w:rPr>
          <w:sz w:val="24"/>
        </w:rPr>
        <w:t>5</w:t>
      </w:r>
      <w:r w:rsidR="005E4EE0" w:rsidRPr="00C44510">
        <w:rPr>
          <w:sz w:val="24"/>
          <w:vertAlign w:val="superscript"/>
        </w:rPr>
        <w:t>th</w:t>
      </w:r>
      <w:r w:rsidR="005E4EE0" w:rsidRPr="00C44510">
        <w:rPr>
          <w:sz w:val="24"/>
        </w:rPr>
        <w:t xml:space="preserve"> highest average price</w:t>
      </w:r>
      <w:r>
        <w:rPr>
          <w:sz w:val="24"/>
        </w:rPr>
        <w:t xml:space="preserve"> of all 38 LEP areas</w:t>
      </w:r>
      <w:r w:rsidR="00E96C84">
        <w:rPr>
          <w:sz w:val="24"/>
        </w:rPr>
        <w:t xml:space="preserve"> (</w:t>
      </w:r>
      <w:hyperlink w:anchor="_Table_1:_Average" w:history="1">
        <w:r w:rsidR="00E96C84" w:rsidRPr="00E96C84">
          <w:rPr>
            <w:rStyle w:val="Hyperlink"/>
            <w:sz w:val="24"/>
          </w:rPr>
          <w:t>table 1</w:t>
        </w:r>
      </w:hyperlink>
      <w:r w:rsidR="00E96C84">
        <w:rPr>
          <w:sz w:val="24"/>
        </w:rPr>
        <w:t>)</w:t>
      </w:r>
      <w:r>
        <w:rPr>
          <w:sz w:val="24"/>
        </w:rPr>
        <w:t xml:space="preserve">. </w:t>
      </w:r>
    </w:p>
    <w:p w14:paraId="3EFFCD46" w14:textId="47F1088D" w:rsidR="005E4EE0" w:rsidRPr="00C44510" w:rsidRDefault="00C44510" w:rsidP="00C44510">
      <w:pPr>
        <w:rPr>
          <w:sz w:val="24"/>
        </w:rPr>
      </w:pPr>
      <w:r>
        <w:rPr>
          <w:sz w:val="24"/>
        </w:rPr>
        <w:t>Within Berkshire, th</w:t>
      </w:r>
      <w:r w:rsidR="005E4EE0" w:rsidRPr="00C44510">
        <w:rPr>
          <w:sz w:val="24"/>
        </w:rPr>
        <w:t>e most expensive place to buy a house is Windsor and Maidenhead</w:t>
      </w:r>
      <w:r>
        <w:rPr>
          <w:sz w:val="24"/>
        </w:rPr>
        <w:t>,</w:t>
      </w:r>
      <w:r w:rsidR="005E4EE0" w:rsidRPr="00C44510">
        <w:rPr>
          <w:sz w:val="24"/>
        </w:rPr>
        <w:t xml:space="preserve"> with an average price of £491,49</w:t>
      </w:r>
      <w:r>
        <w:rPr>
          <w:sz w:val="24"/>
        </w:rPr>
        <w:t>5</w:t>
      </w:r>
      <w:r w:rsidR="005E4EE0" w:rsidRPr="00C44510">
        <w:rPr>
          <w:sz w:val="24"/>
        </w:rPr>
        <w:t xml:space="preserve"> (23</w:t>
      </w:r>
      <w:r w:rsidR="005E4EE0" w:rsidRPr="00C44510">
        <w:rPr>
          <w:sz w:val="24"/>
          <w:vertAlign w:val="superscript"/>
        </w:rPr>
        <w:t>rd</w:t>
      </w:r>
      <w:r w:rsidR="005E4EE0" w:rsidRPr="00C44510">
        <w:rPr>
          <w:sz w:val="24"/>
        </w:rPr>
        <w:t xml:space="preserve"> highest average price </w:t>
      </w:r>
      <w:r>
        <w:rPr>
          <w:sz w:val="24"/>
        </w:rPr>
        <w:t>of all England’s</w:t>
      </w:r>
      <w:r w:rsidR="005E4EE0" w:rsidRPr="00C44510">
        <w:rPr>
          <w:sz w:val="24"/>
        </w:rPr>
        <w:t xml:space="preserve"> local authorities). </w:t>
      </w:r>
      <w:r>
        <w:rPr>
          <w:sz w:val="24"/>
        </w:rPr>
        <w:t xml:space="preserve">Average house prices were lowest in Reading, </w:t>
      </w:r>
      <w:r w:rsidR="005E4EE0" w:rsidRPr="00C44510">
        <w:rPr>
          <w:sz w:val="24"/>
        </w:rPr>
        <w:t xml:space="preserve">with an average price of £303,065. </w:t>
      </w:r>
    </w:p>
    <w:p w14:paraId="4949122C" w14:textId="7218FBA6" w:rsidR="00E810F7" w:rsidRPr="00C44510" w:rsidRDefault="00C44510" w:rsidP="00C44510">
      <w:pPr>
        <w:rPr>
          <w:sz w:val="24"/>
        </w:rPr>
      </w:pPr>
      <w:r>
        <w:rPr>
          <w:sz w:val="24"/>
        </w:rPr>
        <w:t xml:space="preserve">Average house prices in </w:t>
      </w:r>
      <w:r w:rsidR="005E4EE0" w:rsidRPr="00C44510">
        <w:rPr>
          <w:sz w:val="24"/>
        </w:rPr>
        <w:t>Berkshire</w:t>
      </w:r>
      <w:r>
        <w:rPr>
          <w:sz w:val="24"/>
        </w:rPr>
        <w:t xml:space="preserve"> are around £50,000 higher than the South East average and around £125,000 higher than the England average. </w:t>
      </w:r>
      <w:r w:rsidR="005E4EE0" w:rsidRPr="00C44510">
        <w:rPr>
          <w:sz w:val="24"/>
        </w:rPr>
        <w:t xml:space="preserve"> </w:t>
      </w:r>
    </w:p>
    <w:p w14:paraId="6D8AEA98" w14:textId="489A699F" w:rsidR="005E4EE0" w:rsidRPr="00573E42" w:rsidRDefault="00C44510" w:rsidP="00573E42">
      <w:pPr>
        <w:rPr>
          <w:sz w:val="24"/>
        </w:rPr>
      </w:pPr>
      <w:r>
        <w:rPr>
          <w:sz w:val="24"/>
        </w:rPr>
        <w:t xml:space="preserve">Over the 12 month period from </w:t>
      </w:r>
      <w:r w:rsidR="00C94C6A" w:rsidRPr="00C44510">
        <w:rPr>
          <w:sz w:val="24"/>
        </w:rPr>
        <w:t>July 2017 to July 2018</w:t>
      </w:r>
      <w:r>
        <w:rPr>
          <w:sz w:val="24"/>
        </w:rPr>
        <w:t xml:space="preserve">, house prices in Berkshire rose by </w:t>
      </w:r>
      <w:r w:rsidR="00C94C6A" w:rsidRPr="00C44510">
        <w:rPr>
          <w:sz w:val="24"/>
        </w:rPr>
        <w:t>0.9%</w:t>
      </w:r>
      <w:r>
        <w:rPr>
          <w:sz w:val="24"/>
        </w:rPr>
        <w:t xml:space="preserve">, </w:t>
      </w:r>
      <w:r w:rsidR="00C94C6A" w:rsidRPr="00C44510">
        <w:rPr>
          <w:sz w:val="24"/>
        </w:rPr>
        <w:t xml:space="preserve">lower than the </w:t>
      </w:r>
      <w:r>
        <w:rPr>
          <w:sz w:val="24"/>
        </w:rPr>
        <w:t xml:space="preserve">rises in the </w:t>
      </w:r>
      <w:r w:rsidR="00C94C6A" w:rsidRPr="00C44510">
        <w:rPr>
          <w:sz w:val="24"/>
        </w:rPr>
        <w:t xml:space="preserve">South East and England’s </w:t>
      </w:r>
      <w:r>
        <w:rPr>
          <w:sz w:val="24"/>
        </w:rPr>
        <w:t>(</w:t>
      </w:r>
      <w:r w:rsidR="00C94C6A" w:rsidRPr="00C44510">
        <w:rPr>
          <w:sz w:val="24"/>
        </w:rPr>
        <w:t>1.8% and 3%</w:t>
      </w:r>
      <w:r>
        <w:rPr>
          <w:sz w:val="24"/>
        </w:rPr>
        <w:t xml:space="preserve"> respectively)</w:t>
      </w:r>
      <w:r w:rsidR="00C94C6A" w:rsidRPr="00C44510">
        <w:rPr>
          <w:sz w:val="24"/>
        </w:rPr>
        <w:t>.</w:t>
      </w:r>
      <w:r w:rsidR="00573E42">
        <w:rPr>
          <w:sz w:val="24"/>
        </w:rPr>
        <w:t xml:space="preserve">Over this period, </w:t>
      </w:r>
      <w:r w:rsidR="00AF26F9" w:rsidRPr="00573E42">
        <w:rPr>
          <w:sz w:val="24"/>
        </w:rPr>
        <w:t xml:space="preserve">West Berkshire </w:t>
      </w:r>
      <w:r w:rsidR="00573E42">
        <w:rPr>
          <w:sz w:val="24"/>
        </w:rPr>
        <w:t>had the</w:t>
      </w:r>
      <w:r w:rsidR="00AF26F9" w:rsidRPr="00573E42">
        <w:rPr>
          <w:sz w:val="24"/>
        </w:rPr>
        <w:t xml:space="preserve"> highest annual change in Berkshire (5.1%)</w:t>
      </w:r>
      <w:r w:rsidR="00573E42">
        <w:rPr>
          <w:sz w:val="24"/>
        </w:rPr>
        <w:t xml:space="preserve"> and </w:t>
      </w:r>
      <w:r w:rsidR="00AF26F9" w:rsidRPr="00573E42">
        <w:rPr>
          <w:sz w:val="24"/>
        </w:rPr>
        <w:t>Reading the lowest</w:t>
      </w:r>
      <w:r w:rsidR="00573E42">
        <w:rPr>
          <w:sz w:val="24"/>
        </w:rPr>
        <w:t xml:space="preserve">, </w:t>
      </w:r>
      <w:r w:rsidR="00AF26F9" w:rsidRPr="00573E42">
        <w:rPr>
          <w:sz w:val="24"/>
        </w:rPr>
        <w:t>with average house prices falling by -2.2%</w:t>
      </w:r>
      <w:r w:rsidR="00E96C84">
        <w:rPr>
          <w:sz w:val="24"/>
        </w:rPr>
        <w:t xml:space="preserve"> (</w:t>
      </w:r>
      <w:hyperlink w:anchor="_Graph_1:_Annual" w:history="1">
        <w:r w:rsidR="00E96C84" w:rsidRPr="00E96C84">
          <w:rPr>
            <w:rStyle w:val="Hyperlink"/>
            <w:sz w:val="24"/>
          </w:rPr>
          <w:t>graph 1</w:t>
        </w:r>
      </w:hyperlink>
      <w:r w:rsidR="00E96C84">
        <w:rPr>
          <w:sz w:val="24"/>
        </w:rPr>
        <w:t>)</w:t>
      </w:r>
      <w:r w:rsidR="00AF26F9" w:rsidRPr="00573E42">
        <w:rPr>
          <w:sz w:val="24"/>
        </w:rPr>
        <w:t>.</w:t>
      </w:r>
    </w:p>
    <w:p w14:paraId="44C02DF5" w14:textId="7CE54599" w:rsidR="00DF32D4" w:rsidRDefault="002561B4" w:rsidP="002561B4">
      <w:pPr>
        <w:rPr>
          <w:sz w:val="24"/>
        </w:rPr>
      </w:pPr>
      <w:r>
        <w:rPr>
          <w:sz w:val="24"/>
        </w:rPr>
        <w:t>I</w:t>
      </w:r>
      <w:r w:rsidR="00DF32D4" w:rsidRPr="002561B4">
        <w:rPr>
          <w:sz w:val="24"/>
        </w:rPr>
        <w:t>n comparison the rest of England</w:t>
      </w:r>
      <w:r w:rsidR="002F653F" w:rsidRPr="002561B4">
        <w:rPr>
          <w:sz w:val="24"/>
        </w:rPr>
        <w:t>,</w:t>
      </w:r>
      <w:r w:rsidR="00DF32D4" w:rsidRPr="002561B4">
        <w:rPr>
          <w:sz w:val="24"/>
        </w:rPr>
        <w:t xml:space="preserve"> Berkshire has one of the lowest annual </w:t>
      </w:r>
      <w:r w:rsidR="002F653F" w:rsidRPr="002561B4">
        <w:rPr>
          <w:sz w:val="24"/>
        </w:rPr>
        <w:t>changes</w:t>
      </w:r>
      <w:r>
        <w:rPr>
          <w:sz w:val="24"/>
        </w:rPr>
        <w:t xml:space="preserve"> in average house prices,</w:t>
      </w:r>
      <w:r w:rsidR="002F653F" w:rsidRPr="002561B4">
        <w:rPr>
          <w:sz w:val="24"/>
        </w:rPr>
        <w:t xml:space="preserve"> ranking 36</w:t>
      </w:r>
      <w:r w:rsidR="002F653F" w:rsidRPr="002561B4">
        <w:rPr>
          <w:sz w:val="24"/>
          <w:vertAlign w:val="superscript"/>
        </w:rPr>
        <w:t>th</w:t>
      </w:r>
      <w:r w:rsidR="002F653F" w:rsidRPr="002561B4">
        <w:rPr>
          <w:sz w:val="24"/>
        </w:rPr>
        <w:t xml:space="preserve"> place of the 38 LEPs.</w:t>
      </w:r>
    </w:p>
    <w:p w14:paraId="02AC09A7" w14:textId="56ADB6A2" w:rsidR="007448AB" w:rsidRPr="007448AB" w:rsidRDefault="007448AB" w:rsidP="002561B4">
      <w:pPr>
        <w:rPr>
          <w:b/>
          <w:sz w:val="24"/>
        </w:rPr>
      </w:pPr>
      <w:commentRangeStart w:id="0"/>
      <w:r w:rsidRPr="007448AB">
        <w:rPr>
          <w:b/>
          <w:sz w:val="24"/>
        </w:rPr>
        <w:t xml:space="preserve">Rental prices </w:t>
      </w:r>
      <w:commentRangeEnd w:id="0"/>
      <w:r w:rsidR="005D06E7">
        <w:rPr>
          <w:rStyle w:val="CommentReference"/>
        </w:rPr>
        <w:commentReference w:id="0"/>
      </w:r>
    </w:p>
    <w:p w14:paraId="5F448295" w14:textId="312E954B" w:rsidR="008B1385" w:rsidRDefault="007448AB" w:rsidP="007448AB">
      <w:pPr>
        <w:rPr>
          <w:sz w:val="24"/>
        </w:rPr>
      </w:pPr>
      <w:r>
        <w:rPr>
          <w:sz w:val="24"/>
        </w:rPr>
        <w:t>Analysing m</w:t>
      </w:r>
      <w:r w:rsidR="00736446" w:rsidRPr="007448AB">
        <w:rPr>
          <w:sz w:val="24"/>
        </w:rPr>
        <w:t xml:space="preserve">onthly rents recorded between </w:t>
      </w:r>
      <w:r w:rsidR="008B1385" w:rsidRPr="007448AB">
        <w:rPr>
          <w:sz w:val="24"/>
        </w:rPr>
        <w:t>1</w:t>
      </w:r>
      <w:r w:rsidR="008B1385" w:rsidRPr="007448AB">
        <w:rPr>
          <w:sz w:val="24"/>
          <w:vertAlign w:val="superscript"/>
        </w:rPr>
        <w:t>st</w:t>
      </w:r>
      <w:r w:rsidR="008B1385" w:rsidRPr="007448AB">
        <w:rPr>
          <w:sz w:val="24"/>
        </w:rPr>
        <w:t xml:space="preserve"> April 2017 </w:t>
      </w:r>
      <w:r w:rsidR="00736446" w:rsidRPr="007448AB">
        <w:rPr>
          <w:sz w:val="24"/>
        </w:rPr>
        <w:t>to 31</w:t>
      </w:r>
      <w:r w:rsidR="00736446" w:rsidRPr="007448AB">
        <w:rPr>
          <w:sz w:val="24"/>
          <w:vertAlign w:val="superscript"/>
        </w:rPr>
        <w:t>st</w:t>
      </w:r>
      <w:r w:rsidR="00736446" w:rsidRPr="007448AB">
        <w:rPr>
          <w:sz w:val="24"/>
        </w:rPr>
        <w:t xml:space="preserve"> </w:t>
      </w:r>
      <w:r w:rsidR="008B1385" w:rsidRPr="007448AB">
        <w:rPr>
          <w:sz w:val="24"/>
        </w:rPr>
        <w:t>March 2018</w:t>
      </w:r>
      <w:r>
        <w:rPr>
          <w:sz w:val="24"/>
        </w:rPr>
        <w:t xml:space="preserve"> we found that within Berkshire, the highest rental prices were in Windsor and Maidenhead (for all types of property)</w:t>
      </w:r>
      <w:r w:rsidR="00E96C84">
        <w:rPr>
          <w:sz w:val="24"/>
        </w:rPr>
        <w:t xml:space="preserve"> (table 3)</w:t>
      </w:r>
      <w:r>
        <w:rPr>
          <w:sz w:val="24"/>
        </w:rPr>
        <w:t>.  W</w:t>
      </w:r>
      <w:r w:rsidR="008B1385">
        <w:rPr>
          <w:sz w:val="24"/>
        </w:rPr>
        <w:t xml:space="preserve">est Berkshire and Slough have the lowest </w:t>
      </w:r>
      <w:r w:rsidR="00EC4882">
        <w:rPr>
          <w:sz w:val="24"/>
        </w:rPr>
        <w:t>mean monthly rents</w:t>
      </w:r>
      <w:r>
        <w:rPr>
          <w:sz w:val="24"/>
        </w:rPr>
        <w:t>.</w:t>
      </w:r>
      <w:r w:rsidR="00EC4882">
        <w:rPr>
          <w:sz w:val="24"/>
        </w:rPr>
        <w:t xml:space="preserve"> </w:t>
      </w:r>
    </w:p>
    <w:p w14:paraId="4B6AD901" w14:textId="4E516DC4" w:rsidR="00EC4882" w:rsidRDefault="00EC4882" w:rsidP="007448AB">
      <w:pPr>
        <w:rPr>
          <w:sz w:val="24"/>
        </w:rPr>
      </w:pPr>
      <w:r w:rsidRPr="007448AB">
        <w:rPr>
          <w:sz w:val="24"/>
        </w:rPr>
        <w:t>Reading has the largest number of rented properties (2</w:t>
      </w:r>
      <w:r w:rsidR="007448AB" w:rsidRPr="007448AB">
        <w:rPr>
          <w:sz w:val="24"/>
        </w:rPr>
        <w:t>,</w:t>
      </w:r>
      <w:r w:rsidRPr="007448AB">
        <w:rPr>
          <w:sz w:val="24"/>
        </w:rPr>
        <w:t>190 properties)</w:t>
      </w:r>
      <w:r w:rsidR="007448AB" w:rsidRPr="007448AB">
        <w:rPr>
          <w:sz w:val="24"/>
        </w:rPr>
        <w:t xml:space="preserve"> and Wokingham the fewest. </w:t>
      </w:r>
    </w:p>
    <w:p w14:paraId="2D87930E" w14:textId="77777777" w:rsidR="00641F12" w:rsidRDefault="00641F12" w:rsidP="00641F12">
      <w:pPr>
        <w:rPr>
          <w:b/>
          <w:sz w:val="24"/>
        </w:rPr>
      </w:pPr>
      <w:r>
        <w:rPr>
          <w:b/>
          <w:sz w:val="24"/>
        </w:rPr>
        <w:t xml:space="preserve">Housing Affordability </w:t>
      </w:r>
    </w:p>
    <w:p w14:paraId="7A78059D" w14:textId="14C6469D" w:rsidR="00641F12" w:rsidRPr="00641F12" w:rsidRDefault="00641F12" w:rsidP="00641F12">
      <w:pPr>
        <w:rPr>
          <w:sz w:val="24"/>
        </w:rPr>
      </w:pPr>
      <w:r w:rsidRPr="00641F12">
        <w:rPr>
          <w:sz w:val="24"/>
        </w:rPr>
        <w:t>When comparing the housing affordability ratio for each local authority, we see that across all six local authorities in Berkshire there</w:t>
      </w:r>
      <w:r>
        <w:rPr>
          <w:sz w:val="24"/>
        </w:rPr>
        <w:t xml:space="preserve"> has been</w:t>
      </w:r>
      <w:r w:rsidRPr="00641F12">
        <w:rPr>
          <w:sz w:val="24"/>
        </w:rPr>
        <w:t xml:space="preserve"> a general annual increase in the ratio between house prices and residential earnings</w:t>
      </w:r>
      <w:r w:rsidR="002D662B">
        <w:rPr>
          <w:sz w:val="24"/>
        </w:rPr>
        <w:t>, meaning that housing has become less affordable</w:t>
      </w:r>
      <w:r w:rsidR="00DE758E">
        <w:rPr>
          <w:sz w:val="24"/>
        </w:rPr>
        <w:t xml:space="preserve"> </w:t>
      </w:r>
      <w:hyperlink w:anchor="_Graph_5:_Housing" w:history="1">
        <w:r w:rsidR="00DE758E" w:rsidRPr="00DE758E">
          <w:rPr>
            <w:rStyle w:val="Hyperlink"/>
            <w:sz w:val="24"/>
          </w:rPr>
          <w:t>(graph 5</w:t>
        </w:r>
      </w:hyperlink>
      <w:r w:rsidR="00DE758E">
        <w:rPr>
          <w:sz w:val="24"/>
        </w:rPr>
        <w:t>).</w:t>
      </w:r>
      <w:r w:rsidR="002D662B">
        <w:rPr>
          <w:sz w:val="24"/>
        </w:rPr>
        <w:t xml:space="preserve"> </w:t>
      </w:r>
    </w:p>
    <w:p w14:paraId="697C4CC5" w14:textId="43E4BC1D" w:rsidR="00641F12" w:rsidRPr="00641F12" w:rsidRDefault="00641F12" w:rsidP="00641F12">
      <w:pPr>
        <w:rPr>
          <w:sz w:val="24"/>
        </w:rPr>
      </w:pPr>
      <w:r>
        <w:rPr>
          <w:sz w:val="24"/>
        </w:rPr>
        <w:t>Over the last five year</w:t>
      </w:r>
      <w:r w:rsidR="00DE758E">
        <w:rPr>
          <w:sz w:val="24"/>
        </w:rPr>
        <w:t>s</w:t>
      </w:r>
      <w:r>
        <w:rPr>
          <w:sz w:val="24"/>
        </w:rPr>
        <w:t xml:space="preserve">, </w:t>
      </w:r>
      <w:r w:rsidRPr="00641F12">
        <w:rPr>
          <w:sz w:val="24"/>
        </w:rPr>
        <w:t xml:space="preserve">Windsor and Maidenhead have had the largest ratio value of all the authorities which means it is the </w:t>
      </w:r>
      <w:r>
        <w:rPr>
          <w:sz w:val="24"/>
        </w:rPr>
        <w:t>least</w:t>
      </w:r>
      <w:r w:rsidRPr="00641F12">
        <w:rPr>
          <w:sz w:val="24"/>
        </w:rPr>
        <w:t xml:space="preserve"> affordable place to live in Berkshire. </w:t>
      </w:r>
    </w:p>
    <w:p w14:paraId="609A21C4" w14:textId="72DD40F9" w:rsidR="00641F12" w:rsidRDefault="00641F12" w:rsidP="00641F12">
      <w:pPr>
        <w:rPr>
          <w:sz w:val="24"/>
        </w:rPr>
      </w:pPr>
      <w:r w:rsidRPr="00641F12">
        <w:rPr>
          <w:sz w:val="24"/>
        </w:rPr>
        <w:t xml:space="preserve">Whereas Reading has consistently over the last 5 years been the </w:t>
      </w:r>
      <w:r w:rsidR="00DE758E">
        <w:rPr>
          <w:sz w:val="24"/>
        </w:rPr>
        <w:t>mos</w:t>
      </w:r>
      <w:r w:rsidRPr="00641F12">
        <w:rPr>
          <w:sz w:val="24"/>
        </w:rPr>
        <w:t xml:space="preserve">t affordable local authority to live as it has had the lowest housing affordability ratios of all the local authorities in Berkshire. </w:t>
      </w:r>
    </w:p>
    <w:p w14:paraId="2D12814D" w14:textId="49050709" w:rsidR="003D40F5" w:rsidRPr="00641F12" w:rsidRDefault="003D40F5" w:rsidP="00641F12">
      <w:pPr>
        <w:rPr>
          <w:sz w:val="24"/>
        </w:rPr>
      </w:pPr>
      <w:r>
        <w:rPr>
          <w:sz w:val="24"/>
        </w:rPr>
        <w:t>For more information see the house building report with tables on the affordable houses started and completed between 1</w:t>
      </w:r>
      <w:r w:rsidRPr="003D40F5">
        <w:rPr>
          <w:sz w:val="24"/>
          <w:vertAlign w:val="superscript"/>
        </w:rPr>
        <w:t>st</w:t>
      </w:r>
      <w:r>
        <w:rPr>
          <w:sz w:val="24"/>
        </w:rPr>
        <w:t xml:space="preserve"> April 2018 and 30</w:t>
      </w:r>
      <w:r w:rsidRPr="003D40F5">
        <w:rPr>
          <w:sz w:val="24"/>
          <w:vertAlign w:val="superscript"/>
        </w:rPr>
        <w:t>th</w:t>
      </w:r>
      <w:r>
        <w:rPr>
          <w:sz w:val="24"/>
        </w:rPr>
        <w:t xml:space="preserve"> September 2018 within TVB.</w:t>
      </w:r>
    </w:p>
    <w:p w14:paraId="24ECDA83" w14:textId="77777777" w:rsidR="00641F12" w:rsidRPr="007448AB" w:rsidRDefault="00641F12" w:rsidP="007448AB">
      <w:pPr>
        <w:rPr>
          <w:sz w:val="24"/>
        </w:rPr>
      </w:pPr>
    </w:p>
    <w:p w14:paraId="2B6584F9" w14:textId="77777777" w:rsidR="00624140" w:rsidRDefault="00624140" w:rsidP="00EC4882">
      <w:pPr>
        <w:rPr>
          <w:b/>
          <w:sz w:val="24"/>
        </w:rPr>
      </w:pPr>
    </w:p>
    <w:p w14:paraId="6DEA2FF9" w14:textId="77777777" w:rsidR="00624140" w:rsidRDefault="00624140" w:rsidP="00EC4882">
      <w:pPr>
        <w:rPr>
          <w:b/>
          <w:sz w:val="24"/>
        </w:rPr>
      </w:pPr>
    </w:p>
    <w:p w14:paraId="667C5955" w14:textId="64514736" w:rsidR="00EC4882" w:rsidRPr="00E96C84" w:rsidRDefault="00A25A7A" w:rsidP="00E96C84">
      <w:pPr>
        <w:pStyle w:val="Heading2"/>
        <w:rPr>
          <w:b/>
          <w:sz w:val="24"/>
        </w:rPr>
      </w:pPr>
      <w:bookmarkStart w:id="2" w:name="_Table_1:_Average"/>
      <w:bookmarkEnd w:id="2"/>
      <w:r w:rsidRPr="00E96C84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D967E8C" wp14:editId="55AEA09B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6546850" cy="2647315"/>
            <wp:effectExtent l="0" t="0" r="635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40" w:rsidRPr="00E96C8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52749B7" wp14:editId="2D67F8CB">
            <wp:simplePos x="0" y="0"/>
            <wp:positionH relativeFrom="column">
              <wp:posOffset>228600</wp:posOffset>
            </wp:positionH>
            <wp:positionV relativeFrom="paragraph">
              <wp:posOffset>3850640</wp:posOffset>
            </wp:positionV>
            <wp:extent cx="4590415" cy="2755900"/>
            <wp:effectExtent l="0" t="0" r="63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84">
        <w:rPr>
          <w:b/>
          <w:sz w:val="24"/>
        </w:rPr>
        <w:t xml:space="preserve"> </w:t>
      </w:r>
      <w:r w:rsidR="00624140" w:rsidRPr="00E96C84">
        <w:rPr>
          <w:b/>
          <w:sz w:val="24"/>
        </w:rPr>
        <w:t>Table 1: Average price</w:t>
      </w:r>
      <w:r w:rsidR="00E96C84">
        <w:rPr>
          <w:b/>
          <w:sz w:val="24"/>
        </w:rPr>
        <w:t>, m</w:t>
      </w:r>
      <w:r w:rsidR="00624140" w:rsidRPr="00E96C84">
        <w:rPr>
          <w:b/>
          <w:sz w:val="24"/>
        </w:rPr>
        <w:t>onthl</w:t>
      </w:r>
      <w:r w:rsidR="00E96C84">
        <w:rPr>
          <w:b/>
          <w:sz w:val="24"/>
        </w:rPr>
        <w:t>y</w:t>
      </w:r>
      <w:r w:rsidR="00624140" w:rsidRPr="00E96C84">
        <w:rPr>
          <w:b/>
          <w:sz w:val="24"/>
        </w:rPr>
        <w:t xml:space="preserve"> and </w:t>
      </w:r>
      <w:r w:rsidR="00E96C84">
        <w:rPr>
          <w:b/>
          <w:sz w:val="24"/>
        </w:rPr>
        <w:t>a</w:t>
      </w:r>
      <w:r w:rsidR="00624140" w:rsidRPr="00E96C84">
        <w:rPr>
          <w:b/>
          <w:sz w:val="24"/>
        </w:rPr>
        <w:t xml:space="preserve">nnual change </w:t>
      </w:r>
      <w:r w:rsidR="00E96C84">
        <w:rPr>
          <w:b/>
          <w:sz w:val="24"/>
        </w:rPr>
        <w:t>in</w:t>
      </w:r>
      <w:r w:rsidR="00624140" w:rsidRPr="00E96C84">
        <w:rPr>
          <w:b/>
          <w:sz w:val="24"/>
        </w:rPr>
        <w:t xml:space="preserve"> house prices </w:t>
      </w:r>
      <w:r w:rsidR="00E96C84">
        <w:rPr>
          <w:b/>
          <w:sz w:val="24"/>
        </w:rPr>
        <w:t xml:space="preserve">- </w:t>
      </w:r>
      <w:r w:rsidR="00624140" w:rsidRPr="00E96C84">
        <w:rPr>
          <w:b/>
          <w:sz w:val="24"/>
        </w:rPr>
        <w:t>July 2018</w:t>
      </w:r>
    </w:p>
    <w:p w14:paraId="65DB9189" w14:textId="336B1B7F" w:rsidR="00624140" w:rsidRDefault="00624140" w:rsidP="00EC4882">
      <w:pPr>
        <w:rPr>
          <w:b/>
          <w:sz w:val="24"/>
        </w:rPr>
      </w:pPr>
    </w:p>
    <w:p w14:paraId="2F0AB21A" w14:textId="036DBE7F" w:rsidR="00624140" w:rsidRPr="00E96C84" w:rsidRDefault="00624140" w:rsidP="00E96C84">
      <w:pPr>
        <w:pStyle w:val="Heading2"/>
        <w:rPr>
          <w:b/>
          <w:sz w:val="24"/>
        </w:rPr>
      </w:pPr>
      <w:bookmarkStart w:id="3" w:name="_Graph_1:_Annual"/>
      <w:bookmarkEnd w:id="3"/>
      <w:r w:rsidRPr="00E96C84">
        <w:rPr>
          <w:b/>
          <w:sz w:val="24"/>
        </w:rPr>
        <w:t>Graph 1: Annual change of house prices, July 2018</w:t>
      </w:r>
    </w:p>
    <w:p w14:paraId="2431C356" w14:textId="241F92BC" w:rsidR="00624140" w:rsidRDefault="00624140" w:rsidP="00EC4882">
      <w:pPr>
        <w:rPr>
          <w:b/>
          <w:sz w:val="24"/>
        </w:rPr>
      </w:pPr>
    </w:p>
    <w:p w14:paraId="6A4CFDA0" w14:textId="26AAE055" w:rsidR="00624140" w:rsidRDefault="00624140" w:rsidP="00EC4882">
      <w:pPr>
        <w:rPr>
          <w:b/>
          <w:sz w:val="24"/>
        </w:rPr>
      </w:pPr>
    </w:p>
    <w:p w14:paraId="046CE45D" w14:textId="60818233" w:rsidR="00624140" w:rsidRDefault="00624140" w:rsidP="00EC4882">
      <w:pPr>
        <w:rPr>
          <w:b/>
          <w:sz w:val="24"/>
        </w:rPr>
      </w:pPr>
    </w:p>
    <w:p w14:paraId="636CC421" w14:textId="5EAD0B84" w:rsidR="00624140" w:rsidRDefault="00624140" w:rsidP="00EC4882">
      <w:pPr>
        <w:rPr>
          <w:b/>
          <w:sz w:val="24"/>
        </w:rPr>
      </w:pPr>
    </w:p>
    <w:p w14:paraId="2F9FA584" w14:textId="1A9D7546" w:rsidR="00624140" w:rsidRDefault="00624140" w:rsidP="00EC4882">
      <w:pPr>
        <w:rPr>
          <w:b/>
          <w:sz w:val="24"/>
        </w:rPr>
      </w:pPr>
    </w:p>
    <w:p w14:paraId="25A8BA60" w14:textId="5502B457" w:rsidR="00624140" w:rsidRDefault="00624140" w:rsidP="00EC4882">
      <w:pPr>
        <w:rPr>
          <w:b/>
          <w:sz w:val="24"/>
        </w:rPr>
      </w:pPr>
    </w:p>
    <w:p w14:paraId="63CD41AC" w14:textId="545D5C0B" w:rsidR="00624140" w:rsidRDefault="00624140" w:rsidP="00EC4882">
      <w:pPr>
        <w:rPr>
          <w:b/>
          <w:sz w:val="24"/>
        </w:rPr>
      </w:pPr>
    </w:p>
    <w:p w14:paraId="1CA0F5CE" w14:textId="66029136" w:rsidR="00624140" w:rsidRDefault="00624140" w:rsidP="00EC4882">
      <w:pPr>
        <w:rPr>
          <w:b/>
          <w:sz w:val="24"/>
        </w:rPr>
      </w:pPr>
    </w:p>
    <w:p w14:paraId="0B89B95C" w14:textId="3D98B1C0" w:rsidR="00624140" w:rsidRDefault="00624140" w:rsidP="00EC4882">
      <w:pPr>
        <w:rPr>
          <w:b/>
          <w:sz w:val="24"/>
        </w:rPr>
      </w:pPr>
    </w:p>
    <w:p w14:paraId="25E7D67D" w14:textId="4A1C34AE" w:rsidR="00624140" w:rsidRDefault="00624140" w:rsidP="00EC4882">
      <w:pPr>
        <w:rPr>
          <w:b/>
          <w:sz w:val="24"/>
        </w:rPr>
      </w:pPr>
    </w:p>
    <w:p w14:paraId="6F415574" w14:textId="20094036" w:rsidR="00624140" w:rsidRPr="00624140" w:rsidRDefault="00624140" w:rsidP="0062414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Source: </w:t>
      </w:r>
      <w:r w:rsidRPr="00624140">
        <w:rPr>
          <w:rFonts w:ascii="Calibri" w:eastAsia="Times New Roman" w:hAnsi="Calibri" w:cs="Calibri"/>
          <w:color w:val="000000"/>
          <w:lang w:eastAsia="en-GB"/>
        </w:rPr>
        <w:t>UK House Price Index: Average price, ONS, July 2018</w:t>
      </w:r>
    </w:p>
    <w:p w14:paraId="371DC4B0" w14:textId="1DF12146" w:rsidR="00624140" w:rsidRDefault="00624140" w:rsidP="00EC4882">
      <w:pPr>
        <w:rPr>
          <w:b/>
          <w:sz w:val="24"/>
        </w:rPr>
      </w:pPr>
    </w:p>
    <w:p w14:paraId="4696431C" w14:textId="0D996A5B" w:rsidR="00624140" w:rsidRDefault="00624140" w:rsidP="00EC4882">
      <w:pPr>
        <w:rPr>
          <w:b/>
          <w:sz w:val="24"/>
        </w:rPr>
      </w:pPr>
    </w:p>
    <w:p w14:paraId="5191EF16" w14:textId="73537003" w:rsidR="00624140" w:rsidRDefault="00624140" w:rsidP="00EC4882">
      <w:pPr>
        <w:rPr>
          <w:b/>
          <w:sz w:val="24"/>
        </w:rPr>
      </w:pPr>
    </w:p>
    <w:p w14:paraId="72363687" w14:textId="24D6CB50" w:rsidR="00624140" w:rsidRDefault="00624140" w:rsidP="00EC4882">
      <w:pPr>
        <w:rPr>
          <w:b/>
          <w:sz w:val="24"/>
        </w:rPr>
      </w:pPr>
    </w:p>
    <w:p w14:paraId="5F426FB0" w14:textId="4EA3AD17" w:rsidR="00624140" w:rsidRDefault="00624140" w:rsidP="00EC4882">
      <w:pPr>
        <w:rPr>
          <w:b/>
          <w:sz w:val="24"/>
        </w:rPr>
      </w:pPr>
    </w:p>
    <w:p w14:paraId="73D9D601" w14:textId="38898ADB" w:rsidR="00624140" w:rsidRDefault="00624140" w:rsidP="00EC4882">
      <w:pPr>
        <w:rPr>
          <w:b/>
          <w:sz w:val="24"/>
        </w:rPr>
      </w:pPr>
    </w:p>
    <w:p w14:paraId="53F39340" w14:textId="704164ED" w:rsidR="00624140" w:rsidRPr="00E96C84" w:rsidRDefault="002C612C" w:rsidP="00E96C84">
      <w:pPr>
        <w:pStyle w:val="Heading2"/>
        <w:rPr>
          <w:b/>
          <w:sz w:val="24"/>
        </w:rPr>
      </w:pPr>
      <w:r w:rsidRPr="00E96C84"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6F6BAFFE" wp14:editId="302D76B2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7174692" cy="177165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69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DF" w:rsidRPr="00E96C84">
        <w:rPr>
          <w:b/>
          <w:sz w:val="24"/>
        </w:rPr>
        <w:t>Table 2:</w:t>
      </w:r>
      <w:r w:rsidR="00C137F0" w:rsidRPr="00E96C84">
        <w:rPr>
          <w:b/>
          <w:sz w:val="24"/>
        </w:rPr>
        <w:t xml:space="preserve"> Average house prices and annual changes according to type of housing and area</w:t>
      </w:r>
    </w:p>
    <w:p w14:paraId="7A87458F" w14:textId="77777777" w:rsidR="00C137F0" w:rsidRDefault="00C137F0" w:rsidP="00EC4882">
      <w:pPr>
        <w:rPr>
          <w:b/>
          <w:sz w:val="24"/>
        </w:rPr>
      </w:pPr>
    </w:p>
    <w:p w14:paraId="5625841B" w14:textId="73433F09" w:rsidR="00C137F0" w:rsidRPr="00E96C84" w:rsidRDefault="00C137F0" w:rsidP="00E96C84">
      <w:pPr>
        <w:pStyle w:val="Heading2"/>
        <w:rPr>
          <w:b/>
          <w:sz w:val="24"/>
        </w:rPr>
      </w:pPr>
      <w:r w:rsidRPr="00E96C84">
        <w:rPr>
          <w:b/>
          <w:sz w:val="24"/>
        </w:rPr>
        <w:t xml:space="preserve">Graph 2: </w:t>
      </w:r>
      <w:r w:rsidR="00A25A7A" w:rsidRPr="00E96C84">
        <w:rPr>
          <w:b/>
          <w:sz w:val="24"/>
        </w:rPr>
        <w:t>Percentage a</w:t>
      </w:r>
      <w:r w:rsidRPr="00E96C84">
        <w:rPr>
          <w:b/>
          <w:sz w:val="24"/>
        </w:rPr>
        <w:t>nnual change of house prices</w:t>
      </w:r>
      <w:r w:rsidR="00A25A7A" w:rsidRPr="00E96C84">
        <w:rPr>
          <w:b/>
          <w:sz w:val="24"/>
        </w:rPr>
        <w:t xml:space="preserve"> </w:t>
      </w:r>
      <w:r w:rsidR="00E96C84">
        <w:rPr>
          <w:b/>
          <w:sz w:val="24"/>
        </w:rPr>
        <w:t>by</w:t>
      </w:r>
      <w:r w:rsidR="00A25A7A" w:rsidRPr="00E96C84">
        <w:rPr>
          <w:b/>
          <w:sz w:val="24"/>
        </w:rPr>
        <w:t xml:space="preserve"> type of housing,</w:t>
      </w:r>
      <w:r w:rsidRPr="00E96C84">
        <w:rPr>
          <w:b/>
          <w:sz w:val="24"/>
        </w:rPr>
        <w:t xml:space="preserve"> July 2018</w:t>
      </w:r>
    </w:p>
    <w:p w14:paraId="1C9F347E" w14:textId="51474E38" w:rsidR="00C137F0" w:rsidRDefault="00C137F0" w:rsidP="00EC4882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261B31C6" wp14:editId="0945E337">
            <wp:simplePos x="0" y="0"/>
            <wp:positionH relativeFrom="margin">
              <wp:posOffset>379730</wp:posOffset>
            </wp:positionH>
            <wp:positionV relativeFrom="paragraph">
              <wp:posOffset>228600</wp:posOffset>
            </wp:positionV>
            <wp:extent cx="4464050" cy="29260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60D0" w14:textId="44637D44" w:rsidR="00624140" w:rsidRDefault="00624140" w:rsidP="00EC4882">
      <w:pPr>
        <w:rPr>
          <w:b/>
          <w:sz w:val="24"/>
        </w:rPr>
      </w:pPr>
    </w:p>
    <w:p w14:paraId="37C9836E" w14:textId="48C3D1C0" w:rsidR="00A25A7A" w:rsidRDefault="00A25A7A" w:rsidP="00EC4882">
      <w:pPr>
        <w:rPr>
          <w:b/>
          <w:sz w:val="24"/>
        </w:rPr>
      </w:pPr>
    </w:p>
    <w:p w14:paraId="1B5294D5" w14:textId="4A24804D" w:rsidR="00A25A7A" w:rsidRDefault="00A25A7A" w:rsidP="00EC4882">
      <w:pPr>
        <w:rPr>
          <w:b/>
          <w:sz w:val="24"/>
        </w:rPr>
      </w:pPr>
    </w:p>
    <w:p w14:paraId="755AEA67" w14:textId="3BDF68DB" w:rsidR="00A25A7A" w:rsidRDefault="00A25A7A" w:rsidP="00EC4882">
      <w:pPr>
        <w:rPr>
          <w:b/>
          <w:sz w:val="24"/>
        </w:rPr>
      </w:pPr>
    </w:p>
    <w:p w14:paraId="04C661B8" w14:textId="499F803F" w:rsidR="00A25A7A" w:rsidRDefault="00A25A7A" w:rsidP="00EC4882">
      <w:pPr>
        <w:rPr>
          <w:b/>
          <w:sz w:val="24"/>
        </w:rPr>
      </w:pPr>
    </w:p>
    <w:p w14:paraId="0707D7C4" w14:textId="52ED3CBD" w:rsidR="00A25A7A" w:rsidRDefault="00A25A7A" w:rsidP="00EC4882">
      <w:pPr>
        <w:rPr>
          <w:b/>
          <w:sz w:val="24"/>
        </w:rPr>
      </w:pPr>
    </w:p>
    <w:p w14:paraId="724003E3" w14:textId="1CE20484" w:rsidR="00A25A7A" w:rsidRDefault="00A25A7A" w:rsidP="00EC4882">
      <w:pPr>
        <w:rPr>
          <w:b/>
          <w:sz w:val="24"/>
        </w:rPr>
      </w:pPr>
    </w:p>
    <w:p w14:paraId="25D408E8" w14:textId="526674A9" w:rsidR="00A25A7A" w:rsidRDefault="00A25A7A" w:rsidP="00EC4882">
      <w:pPr>
        <w:rPr>
          <w:b/>
          <w:sz w:val="24"/>
        </w:rPr>
      </w:pPr>
    </w:p>
    <w:p w14:paraId="3F966311" w14:textId="07635DB1" w:rsidR="00A25A7A" w:rsidRDefault="00A25A7A" w:rsidP="00EC4882">
      <w:pPr>
        <w:rPr>
          <w:b/>
          <w:sz w:val="24"/>
        </w:rPr>
      </w:pPr>
    </w:p>
    <w:p w14:paraId="0A0E12F7" w14:textId="58FA4207" w:rsidR="00A25A7A" w:rsidRDefault="00A25A7A" w:rsidP="00EC4882">
      <w:pPr>
        <w:rPr>
          <w:b/>
          <w:sz w:val="24"/>
        </w:rPr>
      </w:pPr>
    </w:p>
    <w:p w14:paraId="2A201120" w14:textId="5B2F4E40" w:rsidR="00A25A7A" w:rsidRDefault="00A25A7A" w:rsidP="00A25A7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25A7A">
        <w:rPr>
          <w:rFonts w:ascii="Calibri" w:eastAsia="Times New Roman" w:hAnsi="Calibri" w:cs="Calibri"/>
          <w:b/>
          <w:color w:val="000000"/>
          <w:sz w:val="24"/>
          <w:lang w:eastAsia="en-GB"/>
        </w:rPr>
        <w:t>Source:</w:t>
      </w:r>
      <w:r w:rsidRPr="00A25A7A">
        <w:rPr>
          <w:rFonts w:ascii="Calibri" w:hAnsi="Calibri" w:cs="Calibri"/>
          <w:b/>
          <w:color w:val="000000"/>
          <w:sz w:val="24"/>
        </w:rPr>
        <w:t xml:space="preserve"> </w:t>
      </w:r>
      <w:r w:rsidRPr="00A25A7A">
        <w:rPr>
          <w:rFonts w:ascii="Calibri" w:eastAsia="Times New Roman" w:hAnsi="Calibri" w:cs="Calibri"/>
          <w:color w:val="000000"/>
          <w:lang w:eastAsia="en-GB"/>
        </w:rPr>
        <w:t>UK House Price Index: Average price by property type, ONS, July 2018</w:t>
      </w:r>
    </w:p>
    <w:p w14:paraId="40D9C0F2" w14:textId="7CCBD9A1" w:rsidR="002C612C" w:rsidRDefault="002C612C" w:rsidP="00A25A7A">
      <w:pPr>
        <w:rPr>
          <w:rFonts w:ascii="Calibri" w:eastAsia="Times New Roman" w:hAnsi="Calibri" w:cs="Calibri"/>
          <w:color w:val="000000"/>
          <w:lang w:eastAsia="en-GB"/>
        </w:rPr>
      </w:pPr>
    </w:p>
    <w:p w14:paraId="3368EDE6" w14:textId="5B7B667F" w:rsidR="002C612C" w:rsidRDefault="002C612C" w:rsidP="00A25A7A">
      <w:pPr>
        <w:rPr>
          <w:rFonts w:ascii="Calibri" w:eastAsia="Times New Roman" w:hAnsi="Calibri" w:cs="Calibri"/>
          <w:color w:val="000000"/>
          <w:lang w:eastAsia="en-GB"/>
        </w:rPr>
      </w:pPr>
    </w:p>
    <w:p w14:paraId="1FCFFC93" w14:textId="35F4CA0D" w:rsidR="0014492A" w:rsidRPr="0014492A" w:rsidRDefault="0014492A" w:rsidP="0014492A">
      <w:pPr>
        <w:ind w:left="720"/>
        <w:rPr>
          <w:b/>
          <w:sz w:val="24"/>
        </w:rPr>
      </w:pPr>
      <w:r w:rsidRPr="00E96C84">
        <w:rPr>
          <w:rStyle w:val="Heading2Char"/>
          <w:b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54D121B4" wp14:editId="7E3BC8FA">
            <wp:simplePos x="0" y="0"/>
            <wp:positionH relativeFrom="margin">
              <wp:posOffset>-707390</wp:posOffset>
            </wp:positionH>
            <wp:positionV relativeFrom="paragraph">
              <wp:posOffset>308610</wp:posOffset>
            </wp:positionV>
            <wp:extent cx="6790690" cy="2025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84">
        <w:rPr>
          <w:rStyle w:val="Heading2Char"/>
          <w:b/>
          <w:sz w:val="24"/>
        </w:rPr>
        <w:t>Table 3: Summary of monthly rents recorded between 1st April 2017 to 31st Mar</w:t>
      </w:r>
      <w:r w:rsidR="00E96C84" w:rsidRPr="00E96C84">
        <w:rPr>
          <w:rStyle w:val="Heading2Char"/>
          <w:b/>
          <w:sz w:val="24"/>
        </w:rPr>
        <w:t>ch</w:t>
      </w:r>
      <w:r>
        <w:rPr>
          <w:b/>
          <w:sz w:val="24"/>
        </w:rPr>
        <w:tab/>
        <w:t xml:space="preserve">                     </w:t>
      </w:r>
      <w:r w:rsidRPr="00A25A7A">
        <w:rPr>
          <w:rFonts w:ascii="Calibri" w:eastAsia="Times New Roman" w:hAnsi="Calibri" w:cs="Calibri"/>
          <w:b/>
          <w:color w:val="000000"/>
          <w:sz w:val="24"/>
          <w:lang w:eastAsia="en-GB"/>
        </w:rPr>
        <w:t>Source:</w:t>
      </w:r>
      <w:r w:rsidRPr="00A25A7A">
        <w:rPr>
          <w:rFonts w:ascii="Calibri" w:hAnsi="Calibri" w:cs="Calibri"/>
          <w:b/>
          <w:color w:val="000000"/>
          <w:sz w:val="24"/>
        </w:rPr>
        <w:t xml:space="preserve"> </w:t>
      </w:r>
      <w:r w:rsidRPr="0014492A">
        <w:rPr>
          <w:rFonts w:ascii="Calibri" w:eastAsia="Times New Roman" w:hAnsi="Calibri" w:cs="Calibri"/>
          <w:color w:val="000000"/>
          <w:lang w:eastAsia="en-GB"/>
        </w:rPr>
        <w:t>Private rental market statistics, VOA, April 2017 to March 2018</w:t>
      </w:r>
    </w:p>
    <w:p w14:paraId="13C3FE82" w14:textId="32D90699" w:rsidR="00A25A7A" w:rsidRDefault="00A25A7A" w:rsidP="00EC4882">
      <w:pPr>
        <w:rPr>
          <w:b/>
          <w:sz w:val="24"/>
        </w:rPr>
      </w:pPr>
    </w:p>
    <w:p w14:paraId="11949490" w14:textId="77777777" w:rsidR="002D662B" w:rsidRDefault="002D662B">
      <w:pPr>
        <w:rPr>
          <w:rStyle w:val="Heading2Char"/>
          <w:b/>
          <w:sz w:val="24"/>
        </w:rPr>
      </w:pPr>
      <w:r>
        <w:rPr>
          <w:rStyle w:val="Heading2Char"/>
          <w:b/>
          <w:sz w:val="24"/>
        </w:rPr>
        <w:br w:type="page"/>
      </w:r>
    </w:p>
    <w:p w14:paraId="590431E0" w14:textId="5B777A1D" w:rsidR="00021280" w:rsidRPr="00021280" w:rsidRDefault="00021280" w:rsidP="00EC4882">
      <w:r w:rsidRPr="00104677">
        <w:rPr>
          <w:rStyle w:val="Heading2Char"/>
          <w:b/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2ABDD4DF" wp14:editId="66CDD221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7014857" cy="38354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57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2A" w:rsidRPr="00104677">
        <w:rPr>
          <w:rStyle w:val="Heading2Char"/>
          <w:b/>
          <w:sz w:val="24"/>
        </w:rPr>
        <w:t xml:space="preserve">Table 4: </w:t>
      </w:r>
      <w:r w:rsidRPr="00104677">
        <w:rPr>
          <w:rStyle w:val="Heading2Char"/>
          <w:b/>
          <w:sz w:val="24"/>
        </w:rPr>
        <w:t>Local Authority average weekly rents (</w:t>
      </w:r>
      <w:proofErr w:type="gramStart"/>
      <w:r w:rsidRPr="00104677">
        <w:rPr>
          <w:rStyle w:val="Heading2Char"/>
          <w:b/>
          <w:sz w:val="24"/>
        </w:rPr>
        <w:t>£.p</w:t>
      </w:r>
      <w:proofErr w:type="gramEnd"/>
      <w:r w:rsidRPr="00104677">
        <w:rPr>
          <w:rStyle w:val="Heading2Char"/>
          <w:b/>
          <w:sz w:val="24"/>
        </w:rPr>
        <w:t>), by district, from 1998-99 to 2016-17</w:t>
      </w:r>
      <w:r w:rsidRPr="00104677">
        <w:rPr>
          <w:b/>
        </w:rPr>
        <w:t xml:space="preserve"> </w:t>
      </w:r>
      <w:r w:rsidRPr="00021280">
        <w:t xml:space="preserve">LSVT" most of the local authority's stock has been transferred to the Private Registered Provider sector. </w:t>
      </w:r>
    </w:p>
    <w:p w14:paraId="5C66FDFB" w14:textId="77777777" w:rsidR="00021280" w:rsidRDefault="00021280" w:rsidP="00EC4882">
      <w:pPr>
        <w:rPr>
          <w:b/>
          <w:sz w:val="24"/>
        </w:rPr>
      </w:pPr>
      <w:r w:rsidRPr="00021280">
        <w:t>"MYT" Local Authorities that have transferred their stock in full, part way through the financial year.</w:t>
      </w:r>
    </w:p>
    <w:p w14:paraId="56A3D201" w14:textId="65BC5883" w:rsidR="00021280" w:rsidRPr="00021280" w:rsidRDefault="00021280" w:rsidP="00021280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sz w:val="24"/>
        </w:rPr>
        <w:t>Source:</w:t>
      </w:r>
      <w:r w:rsidRPr="00021280">
        <w:rPr>
          <w:rFonts w:ascii="Arial" w:hAnsi="Arial" w:cs="Arial"/>
          <w:sz w:val="20"/>
          <w:szCs w:val="20"/>
        </w:rPr>
        <w:t xml:space="preserve"> </w:t>
      </w:r>
      <w:r w:rsidRPr="00021280">
        <w:rPr>
          <w:rFonts w:ascii="Arial" w:eastAsia="Times New Roman" w:hAnsi="Arial" w:cs="Arial"/>
          <w:sz w:val="20"/>
          <w:szCs w:val="20"/>
          <w:lang w:eastAsia="en-GB"/>
        </w:rPr>
        <w:t>Table 702, ONS, 2018</w:t>
      </w:r>
    </w:p>
    <w:p w14:paraId="74F85BDD" w14:textId="60C834D1" w:rsidR="00A25A7A" w:rsidRDefault="00A25A7A" w:rsidP="00EC4882">
      <w:pPr>
        <w:rPr>
          <w:b/>
          <w:sz w:val="24"/>
        </w:rPr>
      </w:pPr>
      <w:r w:rsidRPr="00021280">
        <w:tab/>
      </w:r>
      <w:r w:rsidRPr="00021280"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B9F2557" w14:textId="23687EA2" w:rsidR="00021280" w:rsidRDefault="00021280" w:rsidP="00EC4882">
      <w:pPr>
        <w:rPr>
          <w:b/>
          <w:sz w:val="24"/>
        </w:rPr>
      </w:pPr>
    </w:p>
    <w:p w14:paraId="188727EB" w14:textId="4E8B94F7" w:rsidR="00021280" w:rsidRDefault="00021280" w:rsidP="00EC4882">
      <w:pPr>
        <w:rPr>
          <w:b/>
          <w:sz w:val="24"/>
        </w:rPr>
      </w:pPr>
      <w:r w:rsidRPr="00816DCE">
        <w:rPr>
          <w:rStyle w:val="Heading2Char"/>
          <w:b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6A67AF4B" wp14:editId="7A6177B6">
            <wp:simplePos x="0" y="0"/>
            <wp:positionH relativeFrom="column">
              <wp:posOffset>-666750</wp:posOffset>
            </wp:positionH>
            <wp:positionV relativeFrom="paragraph">
              <wp:posOffset>408222</wp:posOffset>
            </wp:positionV>
            <wp:extent cx="7156450" cy="3878580"/>
            <wp:effectExtent l="0" t="0" r="635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CE">
        <w:rPr>
          <w:rStyle w:val="Heading2Char"/>
          <w:b/>
          <w:sz w:val="24"/>
        </w:rPr>
        <w:t>Table 4: Private Registered Provider (PRP) rents, by district, England 1997 to 2017</w:t>
      </w:r>
      <w:r w:rsidR="00816DCE" w:rsidRPr="00816DCE">
        <w:rPr>
          <w:rStyle w:val="Heading2Char"/>
          <w:b/>
          <w:sz w:val="24"/>
        </w:rPr>
        <w:t xml:space="preserve"> (Housing</w:t>
      </w:r>
      <w:r w:rsidR="00816DCE" w:rsidRPr="00816DCE">
        <w:rPr>
          <w:b/>
        </w:rPr>
        <w:t xml:space="preserve"> </w:t>
      </w:r>
      <w:r w:rsidR="00816DCE" w:rsidRPr="00816DCE">
        <w:rPr>
          <w:rStyle w:val="Heading2Char"/>
          <w:b/>
          <w:sz w:val="24"/>
          <w:szCs w:val="24"/>
        </w:rPr>
        <w:t>Association etc)</w:t>
      </w:r>
    </w:p>
    <w:p w14:paraId="15105E2F" w14:textId="213EE2D2" w:rsidR="00021280" w:rsidRPr="00021280" w:rsidRDefault="00021280" w:rsidP="00021280">
      <w:pPr>
        <w:ind w:left="5760"/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  <w:sz w:val="24"/>
        </w:rPr>
        <w:t xml:space="preserve">Source: </w:t>
      </w:r>
      <w:r w:rsidRPr="00021280">
        <w:rPr>
          <w:rFonts w:ascii="Calibri" w:eastAsia="Times New Roman" w:hAnsi="Calibri" w:cs="Calibri"/>
          <w:color w:val="000000"/>
          <w:lang w:eastAsia="en-GB"/>
        </w:rPr>
        <w:t>Table 704, ONS, 2018</w:t>
      </w:r>
    </w:p>
    <w:p w14:paraId="2009D4DA" w14:textId="0490508F" w:rsidR="00021280" w:rsidRDefault="00021280" w:rsidP="00EC4882">
      <w:pPr>
        <w:rPr>
          <w:b/>
          <w:sz w:val="24"/>
        </w:rPr>
      </w:pPr>
    </w:p>
    <w:p w14:paraId="2F6F2F41" w14:textId="1B2844DA" w:rsidR="00021280" w:rsidRDefault="00021280" w:rsidP="00EC4882">
      <w:pPr>
        <w:rPr>
          <w:b/>
          <w:sz w:val="24"/>
        </w:rPr>
      </w:pPr>
    </w:p>
    <w:p w14:paraId="72E61DFC" w14:textId="01192EA2" w:rsidR="00021280" w:rsidRDefault="00021280" w:rsidP="00EC4882">
      <w:pPr>
        <w:rPr>
          <w:b/>
          <w:sz w:val="24"/>
        </w:rPr>
      </w:pPr>
    </w:p>
    <w:p w14:paraId="3E1EA77C" w14:textId="390C2773" w:rsidR="00021280" w:rsidRDefault="00021280" w:rsidP="00EC4882">
      <w:pPr>
        <w:rPr>
          <w:b/>
          <w:sz w:val="24"/>
        </w:rPr>
      </w:pPr>
    </w:p>
    <w:p w14:paraId="22523F32" w14:textId="484F2187" w:rsidR="00021280" w:rsidRDefault="00021280" w:rsidP="00EC4882">
      <w:pPr>
        <w:rPr>
          <w:b/>
          <w:sz w:val="24"/>
        </w:rPr>
      </w:pPr>
    </w:p>
    <w:p w14:paraId="1EC61302" w14:textId="2FD3FAD6" w:rsidR="00021280" w:rsidRDefault="00021280" w:rsidP="00EC4882">
      <w:pPr>
        <w:rPr>
          <w:b/>
          <w:sz w:val="24"/>
        </w:rPr>
      </w:pPr>
    </w:p>
    <w:p w14:paraId="724AA5AD" w14:textId="34C2D80F" w:rsidR="00021280" w:rsidRDefault="00021280" w:rsidP="00EC4882">
      <w:pPr>
        <w:rPr>
          <w:b/>
          <w:sz w:val="24"/>
        </w:rPr>
      </w:pPr>
    </w:p>
    <w:p w14:paraId="31E774D1" w14:textId="177946B4" w:rsidR="00021280" w:rsidRDefault="00021280" w:rsidP="00EC4882">
      <w:pPr>
        <w:rPr>
          <w:b/>
          <w:sz w:val="24"/>
        </w:rPr>
      </w:pPr>
    </w:p>
    <w:p w14:paraId="229A1387" w14:textId="0BEBD4FF" w:rsidR="00021280" w:rsidRDefault="00021280" w:rsidP="00EC4882">
      <w:pPr>
        <w:rPr>
          <w:b/>
          <w:sz w:val="24"/>
        </w:rPr>
      </w:pPr>
    </w:p>
    <w:p w14:paraId="715701E4" w14:textId="31F07E11" w:rsidR="00021280" w:rsidRDefault="00021280" w:rsidP="00EC4882">
      <w:pPr>
        <w:rPr>
          <w:b/>
          <w:sz w:val="24"/>
        </w:rPr>
      </w:pPr>
    </w:p>
    <w:p w14:paraId="72211DED" w14:textId="7B85FF6F" w:rsidR="00021280" w:rsidRDefault="00021280" w:rsidP="00EC4882">
      <w:pPr>
        <w:rPr>
          <w:b/>
          <w:sz w:val="24"/>
        </w:rPr>
      </w:pPr>
    </w:p>
    <w:p w14:paraId="052948D8" w14:textId="60C794B0" w:rsidR="00021280" w:rsidRPr="00021280" w:rsidRDefault="00021280" w:rsidP="00021280">
      <w:pPr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18A73AB" wp14:editId="3D8DCC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3100" cy="7867650"/>
            <wp:effectExtent l="0" t="0" r="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E89750F-071A-4BAF-B4D2-C9F2D850AB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Source: </w:t>
      </w:r>
      <w:r w:rsidRPr="00021280">
        <w:rPr>
          <w:rFonts w:ascii="Calibri" w:eastAsia="Times New Roman" w:hAnsi="Calibri" w:cs="Calibri"/>
          <w:color w:val="000000"/>
          <w:lang w:eastAsia="en-GB"/>
        </w:rPr>
        <w:t>Private rental market statistics, VOA, April 2017 to March 2018</w:t>
      </w:r>
    </w:p>
    <w:p w14:paraId="23ABCEA1" w14:textId="7BC6CAF3" w:rsidR="00021280" w:rsidRDefault="00021280" w:rsidP="00EC4882">
      <w:pPr>
        <w:rPr>
          <w:b/>
          <w:sz w:val="24"/>
        </w:rPr>
      </w:pPr>
    </w:p>
    <w:p w14:paraId="3E859072" w14:textId="77777777" w:rsidR="00837C06" w:rsidRDefault="00837C06" w:rsidP="00837C06">
      <w:pPr>
        <w:rPr>
          <w:b/>
          <w:sz w:val="24"/>
        </w:rPr>
      </w:pPr>
      <w:r>
        <w:rPr>
          <w:sz w:val="24"/>
        </w:rPr>
        <w:tab/>
      </w:r>
    </w:p>
    <w:p w14:paraId="25034AA5" w14:textId="794800D3" w:rsidR="00837C06" w:rsidRPr="00FA64AA" w:rsidRDefault="00837C06" w:rsidP="00FA64AA">
      <w:pPr>
        <w:pStyle w:val="Heading2"/>
        <w:rPr>
          <w:b/>
          <w:sz w:val="24"/>
        </w:rPr>
      </w:pPr>
      <w:r w:rsidRPr="00FA64AA">
        <w:rPr>
          <w:b/>
          <w:noProof/>
          <w:sz w:val="24"/>
        </w:rPr>
        <w:lastRenderedPageBreak/>
        <w:drawing>
          <wp:anchor distT="0" distB="0" distL="114300" distR="114300" simplePos="0" relativeHeight="251669504" behindDoc="0" locked="0" layoutInCell="1" allowOverlap="1" wp14:anchorId="6E659F34" wp14:editId="4B99724B">
            <wp:simplePos x="0" y="0"/>
            <wp:positionH relativeFrom="column">
              <wp:posOffset>-593766</wp:posOffset>
            </wp:positionH>
            <wp:positionV relativeFrom="paragraph">
              <wp:posOffset>332806</wp:posOffset>
            </wp:positionV>
            <wp:extent cx="6537960" cy="4046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04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4AA">
        <w:rPr>
          <w:b/>
          <w:sz w:val="24"/>
        </w:rPr>
        <w:t>Graph 4:</w:t>
      </w:r>
      <w:r w:rsidR="00FA64AA" w:rsidRPr="00FA64AA">
        <w:rPr>
          <w:b/>
          <w:sz w:val="24"/>
        </w:rPr>
        <w:t xml:space="preserve"> Change in median house prices and median earnings </w:t>
      </w:r>
    </w:p>
    <w:p w14:paraId="0A535EA2" w14:textId="77777777" w:rsidR="00837C06" w:rsidRDefault="00837C06" w:rsidP="00837C06">
      <w:pPr>
        <w:rPr>
          <w:rFonts w:cstheme="minorHAnsi"/>
          <w:bCs/>
          <w:color w:val="414042"/>
        </w:rPr>
      </w:pPr>
      <w:r>
        <w:rPr>
          <w:b/>
          <w:sz w:val="24"/>
        </w:rPr>
        <w:t xml:space="preserve"> Source: </w:t>
      </w:r>
      <w:r w:rsidRPr="00A840D1">
        <w:rPr>
          <w:rFonts w:cstheme="minorHAnsi"/>
          <w:bCs/>
          <w:color w:val="414042"/>
        </w:rPr>
        <w:t>House Price Statistics for Small Areas and the Annual Survey of Hours and Earnings,</w:t>
      </w:r>
      <w:r>
        <w:rPr>
          <w:rFonts w:cstheme="minorHAnsi"/>
          <w:bCs/>
          <w:color w:val="414042"/>
        </w:rPr>
        <w:t xml:space="preserve"> ONS, 2018</w:t>
      </w:r>
    </w:p>
    <w:p w14:paraId="3B62134A" w14:textId="77777777" w:rsidR="00837C06" w:rsidRDefault="00837C06" w:rsidP="00837C06">
      <w:pPr>
        <w:rPr>
          <w:b/>
          <w:sz w:val="24"/>
        </w:rPr>
      </w:pPr>
    </w:p>
    <w:p w14:paraId="3C8ADEB1" w14:textId="77777777" w:rsidR="00837C06" w:rsidRDefault="00837C06" w:rsidP="00837C06">
      <w:pPr>
        <w:rPr>
          <w:b/>
          <w:sz w:val="24"/>
        </w:rPr>
      </w:pPr>
    </w:p>
    <w:p w14:paraId="368DF9DA" w14:textId="77777777" w:rsidR="00837C06" w:rsidRDefault="00837C06" w:rsidP="00837C06">
      <w:pPr>
        <w:rPr>
          <w:b/>
          <w:sz w:val="24"/>
        </w:rPr>
      </w:pPr>
    </w:p>
    <w:p w14:paraId="7FB6F9F5" w14:textId="77777777" w:rsidR="00837C06" w:rsidRDefault="00837C06" w:rsidP="00837C06">
      <w:pPr>
        <w:rPr>
          <w:b/>
          <w:sz w:val="24"/>
        </w:rPr>
      </w:pPr>
    </w:p>
    <w:p w14:paraId="29A01D13" w14:textId="77777777" w:rsidR="00837C06" w:rsidRDefault="00837C06" w:rsidP="00837C06">
      <w:pPr>
        <w:rPr>
          <w:b/>
          <w:sz w:val="24"/>
        </w:rPr>
      </w:pPr>
    </w:p>
    <w:p w14:paraId="7E88191F" w14:textId="77777777" w:rsidR="00837C06" w:rsidRDefault="00837C06" w:rsidP="00837C06">
      <w:pPr>
        <w:rPr>
          <w:b/>
          <w:sz w:val="24"/>
        </w:rPr>
      </w:pPr>
    </w:p>
    <w:p w14:paraId="4638B572" w14:textId="77777777" w:rsidR="00837C06" w:rsidRDefault="00837C06" w:rsidP="00837C06">
      <w:pPr>
        <w:rPr>
          <w:b/>
          <w:sz w:val="24"/>
        </w:rPr>
      </w:pPr>
    </w:p>
    <w:p w14:paraId="0895A192" w14:textId="77777777" w:rsidR="00837C06" w:rsidRDefault="00837C06" w:rsidP="00837C06">
      <w:pPr>
        <w:rPr>
          <w:b/>
          <w:sz w:val="24"/>
        </w:rPr>
      </w:pPr>
    </w:p>
    <w:p w14:paraId="6F6418A1" w14:textId="77777777" w:rsidR="00837C06" w:rsidRDefault="00837C06" w:rsidP="00837C06">
      <w:pPr>
        <w:rPr>
          <w:b/>
          <w:sz w:val="24"/>
        </w:rPr>
      </w:pPr>
    </w:p>
    <w:p w14:paraId="6E11DA56" w14:textId="77777777" w:rsidR="00837C06" w:rsidRDefault="00837C06" w:rsidP="00837C06">
      <w:pPr>
        <w:rPr>
          <w:b/>
          <w:sz w:val="24"/>
        </w:rPr>
      </w:pPr>
    </w:p>
    <w:p w14:paraId="3DF20D34" w14:textId="77777777" w:rsidR="00837C06" w:rsidRDefault="00837C06" w:rsidP="00837C06">
      <w:pPr>
        <w:rPr>
          <w:b/>
          <w:sz w:val="24"/>
        </w:rPr>
      </w:pPr>
    </w:p>
    <w:p w14:paraId="09F15664" w14:textId="77777777" w:rsidR="00837C06" w:rsidRDefault="00837C06" w:rsidP="00837C06">
      <w:pPr>
        <w:rPr>
          <w:b/>
          <w:sz w:val="24"/>
        </w:rPr>
      </w:pPr>
    </w:p>
    <w:p w14:paraId="0A8BED48" w14:textId="77777777" w:rsidR="00837C06" w:rsidRDefault="00837C06" w:rsidP="00837C06">
      <w:pPr>
        <w:rPr>
          <w:b/>
          <w:sz w:val="24"/>
        </w:rPr>
      </w:pPr>
    </w:p>
    <w:p w14:paraId="351AAA6A" w14:textId="45D16611" w:rsidR="00837C06" w:rsidRDefault="00837C06" w:rsidP="00FA64AA">
      <w:pPr>
        <w:pStyle w:val="Heading2"/>
        <w:rPr>
          <w:b/>
          <w:sz w:val="24"/>
        </w:rPr>
      </w:pPr>
      <w:bookmarkStart w:id="4" w:name="_Graph_5:_Housing"/>
      <w:bookmarkEnd w:id="4"/>
      <w:r w:rsidRPr="00FA64AA">
        <w:rPr>
          <w:b/>
          <w:noProof/>
          <w:sz w:val="24"/>
        </w:rPr>
        <w:lastRenderedPageBreak/>
        <w:drawing>
          <wp:anchor distT="0" distB="0" distL="114300" distR="114300" simplePos="0" relativeHeight="251670528" behindDoc="1" locked="0" layoutInCell="1" allowOverlap="1" wp14:anchorId="58C2905F" wp14:editId="3B296048">
            <wp:simplePos x="0" y="0"/>
            <wp:positionH relativeFrom="page">
              <wp:posOffset>92867</wp:posOffset>
            </wp:positionH>
            <wp:positionV relativeFrom="paragraph">
              <wp:posOffset>388678</wp:posOffset>
            </wp:positionV>
            <wp:extent cx="7467600" cy="4351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35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4AA">
        <w:rPr>
          <w:b/>
          <w:sz w:val="24"/>
        </w:rPr>
        <w:t>Graph 5:</w:t>
      </w:r>
      <w:r w:rsidR="00FA64AA" w:rsidRPr="00FA64AA">
        <w:rPr>
          <w:b/>
          <w:sz w:val="24"/>
        </w:rPr>
        <w:t xml:space="preserve"> Housing affordability ratio </w:t>
      </w:r>
    </w:p>
    <w:p w14:paraId="0D4565DB" w14:textId="77777777" w:rsidR="00FA64AA" w:rsidRPr="00FA64AA" w:rsidRDefault="00FA64AA" w:rsidP="00FA64AA"/>
    <w:p w14:paraId="5B087461" w14:textId="77777777" w:rsidR="00837C06" w:rsidRDefault="00837C06" w:rsidP="00837C06">
      <w:pPr>
        <w:rPr>
          <w:rFonts w:cstheme="minorHAnsi"/>
          <w:bCs/>
          <w:color w:val="414042"/>
        </w:rPr>
      </w:pPr>
      <w:r>
        <w:rPr>
          <w:b/>
          <w:sz w:val="24"/>
        </w:rPr>
        <w:t xml:space="preserve"> Source: </w:t>
      </w:r>
      <w:r w:rsidRPr="00A840D1">
        <w:rPr>
          <w:rFonts w:cstheme="minorHAnsi"/>
          <w:bCs/>
          <w:color w:val="414042"/>
        </w:rPr>
        <w:t>House Price Statistics for Small Areas and the Annual Survey of Hours and Earnings,</w:t>
      </w:r>
      <w:r>
        <w:rPr>
          <w:rFonts w:cstheme="minorHAnsi"/>
          <w:bCs/>
          <w:color w:val="414042"/>
        </w:rPr>
        <w:t xml:space="preserve"> ONS, 2018</w:t>
      </w:r>
    </w:p>
    <w:p w14:paraId="1464D1E1" w14:textId="7AD4531E" w:rsidR="00837C06" w:rsidRPr="00837C06" w:rsidRDefault="00837C06" w:rsidP="00837C06">
      <w:pPr>
        <w:tabs>
          <w:tab w:val="left" w:pos="6123"/>
        </w:tabs>
        <w:rPr>
          <w:sz w:val="24"/>
        </w:rPr>
      </w:pPr>
    </w:p>
    <w:sectPr w:rsidR="00837C06" w:rsidRPr="0083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oline Perkins" w:date="2018-12-07T11:44:00Z" w:initials="CP">
    <w:p w14:paraId="5D28993B" w14:textId="6658ECE8" w:rsidR="005D06E7" w:rsidRDefault="005D06E7">
      <w:pPr>
        <w:pStyle w:val="CommentText"/>
      </w:pPr>
      <w:r>
        <w:rPr>
          <w:rStyle w:val="CommentReference"/>
        </w:rPr>
        <w:annotationRef/>
      </w:r>
      <w:r>
        <w:t xml:space="preserve">Important for future </w:t>
      </w:r>
      <w:r w:rsidR="00506B7C">
        <w:t xml:space="preserve">– build to rent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289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8993B" w16cid:durableId="1FB4DB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89"/>
    <w:multiLevelType w:val="hybridMultilevel"/>
    <w:tmpl w:val="22C4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80F"/>
    <w:multiLevelType w:val="hybridMultilevel"/>
    <w:tmpl w:val="3C5E61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22180"/>
    <w:multiLevelType w:val="hybridMultilevel"/>
    <w:tmpl w:val="3242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20"/>
    <w:multiLevelType w:val="hybridMultilevel"/>
    <w:tmpl w:val="D326E0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54E66"/>
    <w:multiLevelType w:val="hybridMultilevel"/>
    <w:tmpl w:val="ACC20E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834D9"/>
    <w:multiLevelType w:val="hybridMultilevel"/>
    <w:tmpl w:val="658A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6D95"/>
    <w:multiLevelType w:val="hybridMultilevel"/>
    <w:tmpl w:val="B788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e Perkins">
    <w15:presenceInfo w15:providerId="None" w15:userId="Caroline Pe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72"/>
    <w:rsid w:val="00021280"/>
    <w:rsid w:val="00104677"/>
    <w:rsid w:val="0014492A"/>
    <w:rsid w:val="002561B4"/>
    <w:rsid w:val="002C612C"/>
    <w:rsid w:val="002D662B"/>
    <w:rsid w:val="002F260C"/>
    <w:rsid w:val="002F653F"/>
    <w:rsid w:val="00302703"/>
    <w:rsid w:val="003B7EA4"/>
    <w:rsid w:val="003D40F5"/>
    <w:rsid w:val="003E06DF"/>
    <w:rsid w:val="004A7115"/>
    <w:rsid w:val="004E4AC4"/>
    <w:rsid w:val="00506B7C"/>
    <w:rsid w:val="00573E42"/>
    <w:rsid w:val="005D06E7"/>
    <w:rsid w:val="005E4EE0"/>
    <w:rsid w:val="00624140"/>
    <w:rsid w:val="00641F12"/>
    <w:rsid w:val="006C6037"/>
    <w:rsid w:val="006F1FFB"/>
    <w:rsid w:val="00736446"/>
    <w:rsid w:val="007448AB"/>
    <w:rsid w:val="00816DCE"/>
    <w:rsid w:val="00837C06"/>
    <w:rsid w:val="008B1385"/>
    <w:rsid w:val="0092349C"/>
    <w:rsid w:val="00A25A7A"/>
    <w:rsid w:val="00A57AEA"/>
    <w:rsid w:val="00A86D4B"/>
    <w:rsid w:val="00AF26F9"/>
    <w:rsid w:val="00BE4FDB"/>
    <w:rsid w:val="00C137F0"/>
    <w:rsid w:val="00C44510"/>
    <w:rsid w:val="00C94C6A"/>
    <w:rsid w:val="00D109F2"/>
    <w:rsid w:val="00D1120E"/>
    <w:rsid w:val="00D12272"/>
    <w:rsid w:val="00DE758E"/>
    <w:rsid w:val="00DF0113"/>
    <w:rsid w:val="00DF32D4"/>
    <w:rsid w:val="00E13676"/>
    <w:rsid w:val="00E14100"/>
    <w:rsid w:val="00E810F7"/>
    <w:rsid w:val="00E96C84"/>
    <w:rsid w:val="00EC4882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BC95"/>
  <w15:chartTrackingRefBased/>
  <w15:docId w15:val="{E88CC932-B9E6-4930-9B3F-AC5F037B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6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6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C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png"/><Relationship Id="rId5" Type="http://schemas.openxmlformats.org/officeDocument/2006/relationships/comments" Target="comments.xml"/><Relationship Id="rId15" Type="http://schemas.openxmlformats.org/officeDocument/2006/relationships/chart" Target="charts/chart1.xml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sea\Dropbox\TVB\Data%20and%20Intelligence\Niket\Housing%20data\house%20pric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</a:t>
            </a:r>
            <a:r>
              <a:rPr lang="en-US" baseline="0"/>
              <a:t> England private sector monthly rent (£means) all categories 2017/18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'sheet 6'!$B$1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6D7-4D45-843E-1E8CB764D66D}"/>
              </c:ext>
            </c:extLst>
          </c:dPt>
          <c:dPt>
            <c:idx val="2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6D7-4D45-843E-1E8CB764D66D}"/>
              </c:ext>
            </c:extLst>
          </c:dPt>
          <c:dPt>
            <c:idx val="3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6D7-4D45-843E-1E8CB764D66D}"/>
              </c:ext>
            </c:extLst>
          </c:dPt>
          <c:dPt>
            <c:idx val="3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6D7-4D45-843E-1E8CB764D66D}"/>
              </c:ext>
            </c:extLst>
          </c:dPt>
          <c:dPt>
            <c:idx val="4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6D7-4D45-843E-1E8CB764D66D}"/>
              </c:ext>
            </c:extLst>
          </c:dPt>
          <c:dPt>
            <c:idx val="4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6D7-4D45-843E-1E8CB764D66D}"/>
              </c:ext>
            </c:extLst>
          </c:dPt>
          <c:dPt>
            <c:idx val="5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6D7-4D45-843E-1E8CB764D66D}"/>
              </c:ext>
            </c:extLst>
          </c:dPt>
          <c:dPt>
            <c:idx val="6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6D7-4D45-843E-1E8CB764D66D}"/>
              </c:ext>
            </c:extLst>
          </c:dPt>
          <c:cat>
            <c:strRef>
              <c:f>'sheet 6'!$A$2:$A$70</c:f>
              <c:strCache>
                <c:ptCount val="69"/>
                <c:pt idx="0">
                  <c:v>Hastings</c:v>
                </c:pt>
                <c:pt idx="1">
                  <c:v>Dover</c:v>
                </c:pt>
                <c:pt idx="2">
                  <c:v>Shepway</c:v>
                </c:pt>
                <c:pt idx="3">
                  <c:v>Isle of Wight UA</c:v>
                </c:pt>
                <c:pt idx="4">
                  <c:v>Thanet</c:v>
                </c:pt>
                <c:pt idx="5">
                  <c:v>Eastbourne</c:v>
                </c:pt>
                <c:pt idx="6">
                  <c:v>Gosport</c:v>
                </c:pt>
                <c:pt idx="7">
                  <c:v>Ashford</c:v>
                </c:pt>
                <c:pt idx="8">
                  <c:v>Swale</c:v>
                </c:pt>
                <c:pt idx="9">
                  <c:v>Medway UA</c:v>
                </c:pt>
                <c:pt idx="10">
                  <c:v>Southampton UA</c:v>
                </c:pt>
                <c:pt idx="11">
                  <c:v>Rother</c:v>
                </c:pt>
                <c:pt idx="12">
                  <c:v>Portsmouth UA</c:v>
                </c:pt>
                <c:pt idx="13">
                  <c:v>Arun</c:v>
                </c:pt>
                <c:pt idx="14">
                  <c:v>Worthing</c:v>
                </c:pt>
                <c:pt idx="15">
                  <c:v>Canterbury</c:v>
                </c:pt>
                <c:pt idx="16">
                  <c:v>England</c:v>
                </c:pt>
                <c:pt idx="17">
                  <c:v>Eastleigh</c:v>
                </c:pt>
                <c:pt idx="18">
                  <c:v>Havant</c:v>
                </c:pt>
                <c:pt idx="19">
                  <c:v>Maidstone</c:v>
                </c:pt>
                <c:pt idx="20">
                  <c:v>Rushmoor</c:v>
                </c:pt>
                <c:pt idx="21">
                  <c:v>Gravesham</c:v>
                </c:pt>
                <c:pt idx="22">
                  <c:v>Fareham</c:v>
                </c:pt>
                <c:pt idx="23">
                  <c:v>Adur</c:v>
                </c:pt>
                <c:pt idx="24">
                  <c:v>Cherwell</c:v>
                </c:pt>
                <c:pt idx="25">
                  <c:v>Aylesbury Vale</c:v>
                </c:pt>
                <c:pt idx="26">
                  <c:v>Basingstoke and Deane</c:v>
                </c:pt>
                <c:pt idx="27">
                  <c:v>New Forest</c:v>
                </c:pt>
                <c:pt idx="28">
                  <c:v>Slough UA</c:v>
                </c:pt>
                <c:pt idx="29">
                  <c:v>Dartford</c:v>
                </c:pt>
                <c:pt idx="30">
                  <c:v>Chichester</c:v>
                </c:pt>
                <c:pt idx="31">
                  <c:v>East Hampshire</c:v>
                </c:pt>
                <c:pt idx="32">
                  <c:v>Milton Keynes UA</c:v>
                </c:pt>
                <c:pt idx="33">
                  <c:v>Test Valley</c:v>
                </c:pt>
                <c:pt idx="34">
                  <c:v>Wealden</c:v>
                </c:pt>
                <c:pt idx="35">
                  <c:v>Crawley</c:v>
                </c:pt>
                <c:pt idx="36">
                  <c:v>South East</c:v>
                </c:pt>
                <c:pt idx="37">
                  <c:v>West Oxfordshire</c:v>
                </c:pt>
                <c:pt idx="38">
                  <c:v>West Berkshire UA</c:v>
                </c:pt>
                <c:pt idx="39">
                  <c:v>Vale of White Horse</c:v>
                </c:pt>
                <c:pt idx="40">
                  <c:v>Reading UA</c:v>
                </c:pt>
                <c:pt idx="41">
                  <c:v>Lewes</c:v>
                </c:pt>
                <c:pt idx="42">
                  <c:v>Mid Sussex</c:v>
                </c:pt>
                <c:pt idx="43">
                  <c:v>Tunbridge Wells</c:v>
                </c:pt>
                <c:pt idx="44">
                  <c:v>Tonbridge and Malling</c:v>
                </c:pt>
                <c:pt idx="45">
                  <c:v>Bracknell Forest UA</c:v>
                </c:pt>
                <c:pt idx="46">
                  <c:v>Hart</c:v>
                </c:pt>
                <c:pt idx="47">
                  <c:v>Wycombe</c:v>
                </c:pt>
                <c:pt idx="48">
                  <c:v>Horsham</c:v>
                </c:pt>
                <c:pt idx="49">
                  <c:v>Reigate and Banstead</c:v>
                </c:pt>
                <c:pt idx="50">
                  <c:v>Wokingham UA</c:v>
                </c:pt>
                <c:pt idx="51">
                  <c:v>Winchester</c:v>
                </c:pt>
                <c:pt idx="52">
                  <c:v>Spelthorne</c:v>
                </c:pt>
                <c:pt idx="53">
                  <c:v>South Oxfordshire</c:v>
                </c:pt>
                <c:pt idx="54">
                  <c:v>Waverley</c:v>
                </c:pt>
                <c:pt idx="55">
                  <c:v>Surrey Heath</c:v>
                </c:pt>
                <c:pt idx="56">
                  <c:v>Runnymede</c:v>
                </c:pt>
                <c:pt idx="57">
                  <c:v>Brighton and Hove UA</c:v>
                </c:pt>
                <c:pt idx="58">
                  <c:v>Woking</c:v>
                </c:pt>
                <c:pt idx="59">
                  <c:v>Mole Valley</c:v>
                </c:pt>
                <c:pt idx="60">
                  <c:v>Epsom and Ewell</c:v>
                </c:pt>
                <c:pt idx="61">
                  <c:v>Sevenoaks</c:v>
                </c:pt>
                <c:pt idx="62">
                  <c:v>Tandridge</c:v>
                </c:pt>
                <c:pt idx="63">
                  <c:v>Chiltern</c:v>
                </c:pt>
                <c:pt idx="64">
                  <c:v>Windsor and Maidenhead UA</c:v>
                </c:pt>
                <c:pt idx="65">
                  <c:v>Guildford</c:v>
                </c:pt>
                <c:pt idx="66">
                  <c:v>Oxford</c:v>
                </c:pt>
                <c:pt idx="67">
                  <c:v>South Bucks</c:v>
                </c:pt>
                <c:pt idx="68">
                  <c:v>Elmbridge</c:v>
                </c:pt>
              </c:strCache>
            </c:strRef>
          </c:cat>
          <c:val>
            <c:numRef>
              <c:f>'sheet 6'!$B$2:$B$70</c:f>
              <c:numCache>
                <c:formatCode>#,##0</c:formatCode>
                <c:ptCount val="69"/>
                <c:pt idx="0">
                  <c:v>621</c:v>
                </c:pt>
                <c:pt idx="1">
                  <c:v>630</c:v>
                </c:pt>
                <c:pt idx="2">
                  <c:v>631</c:v>
                </c:pt>
                <c:pt idx="3">
                  <c:v>636</c:v>
                </c:pt>
                <c:pt idx="4">
                  <c:v>690</c:v>
                </c:pt>
                <c:pt idx="5">
                  <c:v>706</c:v>
                </c:pt>
                <c:pt idx="6">
                  <c:v>731</c:v>
                </c:pt>
                <c:pt idx="7">
                  <c:v>751</c:v>
                </c:pt>
                <c:pt idx="8">
                  <c:v>759</c:v>
                </c:pt>
                <c:pt idx="9">
                  <c:v>776</c:v>
                </c:pt>
                <c:pt idx="10">
                  <c:v>791</c:v>
                </c:pt>
                <c:pt idx="11">
                  <c:v>803</c:v>
                </c:pt>
                <c:pt idx="12">
                  <c:v>814</c:v>
                </c:pt>
                <c:pt idx="13">
                  <c:v>817</c:v>
                </c:pt>
                <c:pt idx="14">
                  <c:v>817</c:v>
                </c:pt>
                <c:pt idx="15">
                  <c:v>828</c:v>
                </c:pt>
                <c:pt idx="16">
                  <c:v>829</c:v>
                </c:pt>
                <c:pt idx="17">
                  <c:v>837</c:v>
                </c:pt>
                <c:pt idx="18">
                  <c:v>842</c:v>
                </c:pt>
                <c:pt idx="19">
                  <c:v>844</c:v>
                </c:pt>
                <c:pt idx="20">
                  <c:v>853</c:v>
                </c:pt>
                <c:pt idx="21">
                  <c:v>856</c:v>
                </c:pt>
                <c:pt idx="22">
                  <c:v>873</c:v>
                </c:pt>
                <c:pt idx="23">
                  <c:v>892</c:v>
                </c:pt>
                <c:pt idx="24">
                  <c:v>902</c:v>
                </c:pt>
                <c:pt idx="25">
                  <c:v>903</c:v>
                </c:pt>
                <c:pt idx="26">
                  <c:v>926</c:v>
                </c:pt>
                <c:pt idx="27">
                  <c:v>928</c:v>
                </c:pt>
                <c:pt idx="28">
                  <c:v>937</c:v>
                </c:pt>
                <c:pt idx="29">
                  <c:v>946</c:v>
                </c:pt>
                <c:pt idx="30">
                  <c:v>948</c:v>
                </c:pt>
                <c:pt idx="31">
                  <c:v>953</c:v>
                </c:pt>
                <c:pt idx="32">
                  <c:v>955</c:v>
                </c:pt>
                <c:pt idx="33">
                  <c:v>965</c:v>
                </c:pt>
                <c:pt idx="34">
                  <c:v>969</c:v>
                </c:pt>
                <c:pt idx="35">
                  <c:v>982</c:v>
                </c:pt>
                <c:pt idx="36">
                  <c:v>989</c:v>
                </c:pt>
                <c:pt idx="37">
                  <c:v>993</c:v>
                </c:pt>
                <c:pt idx="38">
                  <c:v>1001</c:v>
                </c:pt>
                <c:pt idx="39">
                  <c:v>1011</c:v>
                </c:pt>
                <c:pt idx="40">
                  <c:v>1020</c:v>
                </c:pt>
                <c:pt idx="41">
                  <c:v>1029</c:v>
                </c:pt>
                <c:pt idx="42">
                  <c:v>1031</c:v>
                </c:pt>
                <c:pt idx="43">
                  <c:v>1039</c:v>
                </c:pt>
                <c:pt idx="44">
                  <c:v>1062</c:v>
                </c:pt>
                <c:pt idx="45">
                  <c:v>1107</c:v>
                </c:pt>
                <c:pt idx="46">
                  <c:v>1107</c:v>
                </c:pt>
                <c:pt idx="47">
                  <c:v>1119</c:v>
                </c:pt>
                <c:pt idx="48">
                  <c:v>1119</c:v>
                </c:pt>
                <c:pt idx="49">
                  <c:v>1138</c:v>
                </c:pt>
                <c:pt idx="50">
                  <c:v>1139</c:v>
                </c:pt>
                <c:pt idx="51">
                  <c:v>1144</c:v>
                </c:pt>
                <c:pt idx="52">
                  <c:v>1149</c:v>
                </c:pt>
                <c:pt idx="53">
                  <c:v>1153</c:v>
                </c:pt>
                <c:pt idx="54">
                  <c:v>1171</c:v>
                </c:pt>
                <c:pt idx="55">
                  <c:v>1202</c:v>
                </c:pt>
                <c:pt idx="56">
                  <c:v>1268</c:v>
                </c:pt>
                <c:pt idx="57">
                  <c:v>1274</c:v>
                </c:pt>
                <c:pt idx="58">
                  <c:v>1280</c:v>
                </c:pt>
                <c:pt idx="59">
                  <c:v>1302</c:v>
                </c:pt>
                <c:pt idx="60">
                  <c:v>1319</c:v>
                </c:pt>
                <c:pt idx="61">
                  <c:v>1361</c:v>
                </c:pt>
                <c:pt idx="62">
                  <c:v>1363</c:v>
                </c:pt>
                <c:pt idx="63">
                  <c:v>1366</c:v>
                </c:pt>
                <c:pt idx="64">
                  <c:v>1368</c:v>
                </c:pt>
                <c:pt idx="65">
                  <c:v>1427</c:v>
                </c:pt>
                <c:pt idx="66">
                  <c:v>1437</c:v>
                </c:pt>
                <c:pt idx="67">
                  <c:v>1468</c:v>
                </c:pt>
                <c:pt idx="68">
                  <c:v>1821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6D7-4D45-843E-1E8CB764D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0260984"/>
        <c:axId val="530261968"/>
      </c:barChart>
      <c:catAx>
        <c:axId val="530260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261968"/>
        <c:crosses val="autoZero"/>
        <c:auto val="1"/>
        <c:lblAlgn val="ctr"/>
        <c:lblOffset val="100"/>
        <c:noMultiLvlLbl val="0"/>
      </c:catAx>
      <c:valAx>
        <c:axId val="53026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260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Sethi</dc:creator>
  <cp:keywords/>
  <dc:description/>
  <cp:lastModifiedBy>Caroline Perkins</cp:lastModifiedBy>
  <cp:revision>4</cp:revision>
  <dcterms:created xsi:type="dcterms:W3CDTF">2018-12-07T09:57:00Z</dcterms:created>
  <dcterms:modified xsi:type="dcterms:W3CDTF">2018-12-07T11:50:00Z</dcterms:modified>
</cp:coreProperties>
</file>