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1DC9" w14:textId="77777777" w:rsidR="00543645" w:rsidRDefault="00543645" w:rsidP="00F07DB2">
      <w:pPr>
        <w:jc w:val="center"/>
        <w:rPr>
          <w:b/>
          <w:sz w:val="36"/>
        </w:rPr>
      </w:pPr>
    </w:p>
    <w:p w14:paraId="51342330" w14:textId="2EED674F" w:rsidR="00741C0F" w:rsidRPr="00007934" w:rsidRDefault="00F07DB2" w:rsidP="00F07DB2">
      <w:pPr>
        <w:jc w:val="center"/>
        <w:rPr>
          <w:b/>
          <w:sz w:val="36"/>
        </w:rPr>
      </w:pPr>
      <w:r w:rsidRPr="00007934">
        <w:rPr>
          <w:b/>
          <w:sz w:val="36"/>
        </w:rPr>
        <w:t>Housebuilding</w:t>
      </w:r>
      <w:r w:rsidR="00C768D1">
        <w:rPr>
          <w:b/>
          <w:sz w:val="36"/>
        </w:rPr>
        <w:t xml:space="preserve"> in</w:t>
      </w:r>
      <w:r w:rsidRPr="00007934">
        <w:rPr>
          <w:b/>
          <w:sz w:val="36"/>
        </w:rPr>
        <w:t xml:space="preserve"> </w:t>
      </w:r>
      <w:r w:rsidR="00C768D1">
        <w:rPr>
          <w:b/>
          <w:sz w:val="36"/>
        </w:rPr>
        <w:t xml:space="preserve">Thames Valley </w:t>
      </w:r>
      <w:r w:rsidR="00C768D1" w:rsidRPr="00173321">
        <w:rPr>
          <w:b/>
          <w:sz w:val="36"/>
        </w:rPr>
        <w:t xml:space="preserve">Berkshire </w:t>
      </w:r>
      <w:r w:rsidRPr="00007934">
        <w:rPr>
          <w:b/>
          <w:sz w:val="36"/>
        </w:rPr>
        <w:t>– Q1 2018</w:t>
      </w:r>
    </w:p>
    <w:p w14:paraId="5836D5E8" w14:textId="73DE76F1" w:rsidR="00F07DB2" w:rsidRPr="00F07DB2" w:rsidRDefault="00F07DB2" w:rsidP="00F07DB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AB90D95" w14:textId="77777777" w:rsidR="00F07DB2" w:rsidRPr="00007934" w:rsidRDefault="00646430" w:rsidP="00F07DB2">
      <w:pPr>
        <w:rPr>
          <w:b/>
          <w:sz w:val="24"/>
        </w:rPr>
      </w:pPr>
      <w:r w:rsidRPr="00007934">
        <w:rPr>
          <w:b/>
          <w:sz w:val="24"/>
        </w:rPr>
        <w:t>Headlines</w:t>
      </w:r>
    </w:p>
    <w:p w14:paraId="33ACEE61" w14:textId="1C22651E" w:rsidR="00885FB7" w:rsidRDefault="00646430" w:rsidP="008C7C1A">
      <w:r w:rsidRPr="00261DB3">
        <w:t>3</w:t>
      </w:r>
      <w:r w:rsidRPr="00193862">
        <w:t xml:space="preserve">,230 dwellings were </w:t>
      </w:r>
      <w:r w:rsidRPr="008C7C1A">
        <w:rPr>
          <w:u w:val="single"/>
        </w:rPr>
        <w:t>completed</w:t>
      </w:r>
      <w:r w:rsidRPr="00193862">
        <w:t xml:space="preserve"> in</w:t>
      </w:r>
      <w:r w:rsidRPr="00007934">
        <w:t xml:space="preserve"> </w:t>
      </w:r>
      <w:r w:rsidR="00C768D1">
        <w:t xml:space="preserve">Thames Valley </w:t>
      </w:r>
      <w:r w:rsidRPr="00007934">
        <w:t xml:space="preserve">Berkshire in </w:t>
      </w:r>
      <w:r w:rsidRPr="00261DB3">
        <w:t xml:space="preserve">the year to </w:t>
      </w:r>
      <w:r w:rsidRPr="00193862">
        <w:t>Q1 2018</w:t>
      </w:r>
      <w:r w:rsidR="00543645">
        <w:t xml:space="preserve">, which </w:t>
      </w:r>
      <w:r w:rsidR="008C7C1A">
        <w:t>equates to a d</w:t>
      </w:r>
      <w:r w:rsidRPr="00007934">
        <w:t>welling completion rate</w:t>
      </w:r>
      <w:r w:rsidRPr="00007934">
        <w:rPr>
          <w:rStyle w:val="FootnoteReference"/>
        </w:rPr>
        <w:footnoteReference w:id="1"/>
      </w:r>
      <w:r w:rsidRPr="00007934">
        <w:t xml:space="preserve"> </w:t>
      </w:r>
      <w:r w:rsidR="008C7C1A">
        <w:t>of</w:t>
      </w:r>
      <w:r w:rsidRPr="00007934">
        <w:t xml:space="preserve"> 0.9%.  This </w:t>
      </w:r>
      <w:r w:rsidR="00543645">
        <w:t xml:space="preserve">was </w:t>
      </w:r>
      <w:r w:rsidRPr="00007934">
        <w:t>higher than the national average and the 8</w:t>
      </w:r>
      <w:r w:rsidRPr="008C7C1A">
        <w:rPr>
          <w:vertAlign w:val="superscript"/>
        </w:rPr>
        <w:t>th</w:t>
      </w:r>
      <w:r w:rsidRPr="00007934">
        <w:t xml:space="preserve"> highest rate of all LEP areas. </w:t>
      </w:r>
    </w:p>
    <w:p w14:paraId="6AA46E38" w14:textId="2E4CF51F" w:rsidR="00646430" w:rsidRDefault="00646430" w:rsidP="008C7C1A">
      <w:r w:rsidRPr="00007934">
        <w:t xml:space="preserve">2,390 dwellings were </w:t>
      </w:r>
      <w:r w:rsidRPr="008C7C1A">
        <w:rPr>
          <w:u w:val="single"/>
        </w:rPr>
        <w:t>started</w:t>
      </w:r>
      <w:r w:rsidRPr="00007934">
        <w:t xml:space="preserve"> in </w:t>
      </w:r>
      <w:r w:rsidR="00C768D1">
        <w:t xml:space="preserve">Thames Valley </w:t>
      </w:r>
      <w:r w:rsidRPr="00007934">
        <w:t>Berkshire the year to Q1 2018.</w:t>
      </w:r>
      <w:r w:rsidR="00885FB7">
        <w:t xml:space="preserve">  </w:t>
      </w:r>
      <w:r w:rsidRPr="00007934">
        <w:t>Dwelling start rates</w:t>
      </w:r>
      <w:r w:rsidRPr="00007934">
        <w:rPr>
          <w:rStyle w:val="FootnoteReference"/>
        </w:rPr>
        <w:footnoteReference w:id="2"/>
      </w:r>
      <w:r w:rsidRPr="00007934">
        <w:t xml:space="preserve"> </w:t>
      </w:r>
      <w:r w:rsidR="008C7C1A">
        <w:t>were</w:t>
      </w:r>
      <w:r w:rsidRPr="00007934">
        <w:t xml:space="preserve"> in</w:t>
      </w:r>
      <w:r w:rsidR="00F10ABD">
        <w:t>-</w:t>
      </w:r>
      <w:r w:rsidRPr="00007934">
        <w:t>line with the national average (roughly 0.7%)</w:t>
      </w:r>
      <w:r w:rsidR="00885FB7">
        <w:t xml:space="preserve"> and Thames Valley Berkshire </w:t>
      </w:r>
      <w:r w:rsidR="008C7C1A">
        <w:t xml:space="preserve">was </w:t>
      </w:r>
      <w:r w:rsidR="00885FB7">
        <w:t xml:space="preserve">mid-ranked amongst the 38 LEP areas </w:t>
      </w:r>
    </w:p>
    <w:p w14:paraId="16746A25" w14:textId="37A6DE89" w:rsidR="00885FB7" w:rsidRPr="008C7C1A" w:rsidRDefault="00885FB7" w:rsidP="008C7C1A">
      <w:pPr>
        <w:rPr>
          <w:sz w:val="20"/>
        </w:rPr>
      </w:pPr>
      <w:r>
        <w:t xml:space="preserve">Within </w:t>
      </w:r>
      <w:r w:rsidR="00C768D1">
        <w:t xml:space="preserve">Thames Valley </w:t>
      </w:r>
      <w:r>
        <w:t xml:space="preserve">Berkshire, Wokingham </w:t>
      </w:r>
      <w:r w:rsidR="008C7C1A">
        <w:t>was</w:t>
      </w:r>
      <w:r w:rsidR="00C768D1">
        <w:t xml:space="preserve"> </w:t>
      </w:r>
      <w:r>
        <w:t>the biggest contributor to dwelling completions and starts</w:t>
      </w:r>
      <w:r w:rsidR="00C768D1">
        <w:t xml:space="preserve"> </w:t>
      </w:r>
      <w:r w:rsidR="008C7C1A">
        <w:t xml:space="preserve">in the year to Q1 2018 </w:t>
      </w:r>
      <w:r w:rsidR="00C768D1">
        <w:t>a</w:t>
      </w:r>
      <w:r>
        <w:t>nd ha</w:t>
      </w:r>
      <w:r w:rsidR="008C7C1A">
        <w:t>d</w:t>
      </w:r>
      <w:r>
        <w:t xml:space="preserve"> some of the highest housebuilding rates in the country</w:t>
      </w:r>
      <w:r w:rsidR="00C768D1">
        <w:t>. It ha</w:t>
      </w:r>
      <w:r w:rsidR="00543645">
        <w:t>d</w:t>
      </w:r>
      <w:r w:rsidR="00C768D1">
        <w:t xml:space="preserve"> </w:t>
      </w:r>
      <w:r w:rsidRPr="00007934">
        <w:t>the 7</w:t>
      </w:r>
      <w:r w:rsidRPr="008C7C1A">
        <w:rPr>
          <w:vertAlign w:val="superscript"/>
        </w:rPr>
        <w:t>th</w:t>
      </w:r>
      <w:r w:rsidRPr="00007934">
        <w:t xml:space="preserve"> highest </w:t>
      </w:r>
      <w:r w:rsidR="00C768D1">
        <w:t>dwelling start rate</w:t>
      </w:r>
      <w:r w:rsidRPr="00007934">
        <w:t xml:space="preserve"> (1.9%) and the 8</w:t>
      </w:r>
      <w:r w:rsidRPr="008C7C1A">
        <w:rPr>
          <w:vertAlign w:val="superscript"/>
        </w:rPr>
        <w:t>th</w:t>
      </w:r>
      <w:r w:rsidRPr="00007934">
        <w:t xml:space="preserve"> highest rate </w:t>
      </w:r>
      <w:r w:rsidR="00C768D1">
        <w:t xml:space="preserve">dwelling completion rate </w:t>
      </w:r>
      <w:r w:rsidRPr="00007934">
        <w:t>(1.9%) of all 326 local authorities</w:t>
      </w:r>
      <w:r>
        <w:t xml:space="preserve">. </w:t>
      </w:r>
    </w:p>
    <w:p w14:paraId="4DB4253C" w14:textId="13F5D9BA" w:rsidR="00C768D1" w:rsidRDefault="00543645" w:rsidP="008C7C1A">
      <w:r>
        <w:t xml:space="preserve">Over the same period, </w:t>
      </w:r>
      <w:r w:rsidR="00885FB7" w:rsidRPr="00007934">
        <w:t>Windsor and Maidenhead h</w:t>
      </w:r>
      <w:r w:rsidR="00C768D1">
        <w:t>a</w:t>
      </w:r>
      <w:r>
        <w:t>d</w:t>
      </w:r>
      <w:r w:rsidR="00885FB7">
        <w:t xml:space="preserve"> the lowest</w:t>
      </w:r>
      <w:r w:rsidR="00C768D1">
        <w:t xml:space="preserve"> dwelling</w:t>
      </w:r>
      <w:r w:rsidR="00885FB7">
        <w:t xml:space="preserve"> completion and start rates within </w:t>
      </w:r>
      <w:r w:rsidR="00007934">
        <w:t>Berkshire and</w:t>
      </w:r>
      <w:r w:rsidR="00885FB7">
        <w:t xml:space="preserve"> </w:t>
      </w:r>
      <w:r>
        <w:t xml:space="preserve">was </w:t>
      </w:r>
      <w:r w:rsidR="00885FB7">
        <w:t>ranked 232</w:t>
      </w:r>
      <w:r w:rsidR="00885FB7" w:rsidRPr="008C7C1A">
        <w:rPr>
          <w:vertAlign w:val="superscript"/>
        </w:rPr>
        <w:t>nd</w:t>
      </w:r>
      <w:r w:rsidR="00885FB7">
        <w:t xml:space="preserve"> and 303</w:t>
      </w:r>
      <w:r w:rsidR="00885FB7" w:rsidRPr="008C7C1A">
        <w:rPr>
          <w:vertAlign w:val="superscript"/>
        </w:rPr>
        <w:t>rd</w:t>
      </w:r>
      <w:r w:rsidR="00885FB7">
        <w:t xml:space="preserve"> respectively out of 326 local authority areas.</w:t>
      </w:r>
    </w:p>
    <w:p w14:paraId="531DBEAA" w14:textId="140926C3" w:rsidR="00885FB7" w:rsidRDefault="00131318" w:rsidP="008C7C1A">
      <w:r>
        <w:t>Of Thames Valley Berkshire’s neighbour</w:t>
      </w:r>
      <w:r w:rsidR="00543645">
        <w:t>ing</w:t>
      </w:r>
      <w:r>
        <w:t xml:space="preserve"> LEP areas, Oxfordshire ha</w:t>
      </w:r>
      <w:r w:rsidR="00543645">
        <w:t>d</w:t>
      </w:r>
      <w:r>
        <w:t xml:space="preserve"> the </w:t>
      </w:r>
      <w:r w:rsidR="003F5BC7">
        <w:t xml:space="preserve">highest housebuilding rates (completions and starts). </w:t>
      </w:r>
    </w:p>
    <w:p w14:paraId="55E75BCF" w14:textId="25ED44C7" w:rsidR="0039669D" w:rsidRDefault="00193862" w:rsidP="008C7C1A">
      <w:r>
        <w:t>Over the last five years, Q1 dwelling completions were highest in 2017 and 2018 (</w:t>
      </w:r>
      <w:hyperlink w:anchor="_Table_2:_Dwelling" w:history="1">
        <w:r w:rsidRPr="00480DB7">
          <w:rPr>
            <w:rStyle w:val="Hyperlink"/>
          </w:rPr>
          <w:t>table 2</w:t>
        </w:r>
      </w:hyperlink>
      <w:r>
        <w:t xml:space="preserve"> and </w:t>
      </w:r>
      <w:hyperlink w:anchor="_Chart_1:_Dwellings" w:history="1">
        <w:r w:rsidRPr="00480DB7">
          <w:rPr>
            <w:rStyle w:val="Hyperlink"/>
          </w:rPr>
          <w:t>chart 1</w:t>
        </w:r>
      </w:hyperlink>
      <w:r>
        <w:t xml:space="preserve">), driven largely by a rise in housing completions in Wokingham. </w:t>
      </w:r>
    </w:p>
    <w:p w14:paraId="40F4EE79" w14:textId="2223855A" w:rsidR="00193862" w:rsidRPr="00007934" w:rsidRDefault="00193862" w:rsidP="00193862">
      <w:pPr>
        <w:rPr>
          <w:b/>
          <w:sz w:val="24"/>
        </w:rPr>
      </w:pPr>
      <w:r w:rsidRPr="00007934">
        <w:rPr>
          <w:b/>
          <w:sz w:val="24"/>
        </w:rPr>
        <w:t xml:space="preserve">Recovery since the </w:t>
      </w:r>
      <w:r w:rsidR="00007934">
        <w:rPr>
          <w:b/>
          <w:sz w:val="24"/>
        </w:rPr>
        <w:t>2008 f</w:t>
      </w:r>
      <w:r w:rsidRPr="00007934">
        <w:rPr>
          <w:b/>
          <w:sz w:val="24"/>
        </w:rPr>
        <w:t xml:space="preserve">inancial </w:t>
      </w:r>
      <w:r w:rsidR="00007934">
        <w:rPr>
          <w:b/>
          <w:sz w:val="24"/>
        </w:rPr>
        <w:t>crash</w:t>
      </w:r>
    </w:p>
    <w:p w14:paraId="48CD0BE1" w14:textId="41B47E38" w:rsidR="002D7C10" w:rsidRDefault="00193862" w:rsidP="00560362">
      <w:r>
        <w:t xml:space="preserve">The BBC </w:t>
      </w:r>
      <w:r w:rsidR="00D43176">
        <w:t>recently examined how</w:t>
      </w:r>
      <w:r>
        <w:t xml:space="preserve"> well the housing market </w:t>
      </w:r>
      <w:r w:rsidR="00007934">
        <w:t xml:space="preserve">across the UK </w:t>
      </w:r>
      <w:r>
        <w:t xml:space="preserve">has </w:t>
      </w:r>
      <w:r w:rsidR="00D43176">
        <w:t>recovered</w:t>
      </w:r>
      <w:r>
        <w:t xml:space="preserve"> since the 2008 financial crash</w:t>
      </w:r>
      <w:r w:rsidR="00560362">
        <w:t xml:space="preserve">. </w:t>
      </w:r>
      <w:hyperlink w:anchor="_Chart_2:_Dwellings" w:history="1">
        <w:r w:rsidR="00560362" w:rsidRPr="00560362">
          <w:rPr>
            <w:rStyle w:val="Hyperlink"/>
          </w:rPr>
          <w:t>Chart 2</w:t>
        </w:r>
      </w:hyperlink>
      <w:r w:rsidR="00007934">
        <w:t xml:space="preserve"> show</w:t>
      </w:r>
      <w:r w:rsidR="00560362">
        <w:t>s</w:t>
      </w:r>
      <w:r w:rsidR="00007934">
        <w:t xml:space="preserve"> the extent to which housebuilding in Berkshire was affected</w:t>
      </w:r>
      <w:r w:rsidR="002D7C10">
        <w:t>,</w:t>
      </w:r>
      <w:r w:rsidR="00007934">
        <w:t xml:space="preserve"> with the number of houses being built falling </w:t>
      </w:r>
      <w:r w:rsidR="002D7C10">
        <w:t xml:space="preserve">substantially </w:t>
      </w:r>
      <w:r w:rsidR="00007934">
        <w:t>between the years of 2008</w:t>
      </w:r>
      <w:r w:rsidR="002D7C10">
        <w:t>/</w:t>
      </w:r>
      <w:r w:rsidR="00007934">
        <w:t xml:space="preserve">9 </w:t>
      </w:r>
      <w:r w:rsidR="002D7C10">
        <w:t>and</w:t>
      </w:r>
      <w:r w:rsidR="00007934">
        <w:t xml:space="preserve"> 2012</w:t>
      </w:r>
      <w:r w:rsidR="002D7C10">
        <w:t>/</w:t>
      </w:r>
      <w:r w:rsidR="00007934">
        <w:t xml:space="preserve">13. </w:t>
      </w:r>
    </w:p>
    <w:p w14:paraId="247512B6" w14:textId="35FDD279" w:rsidR="00D43176" w:rsidRDefault="002D7C10" w:rsidP="00560362">
      <w:r>
        <w:t>From</w:t>
      </w:r>
      <w:r w:rsidR="00007934">
        <w:t xml:space="preserve"> 2012</w:t>
      </w:r>
      <w:r>
        <w:t>/</w:t>
      </w:r>
      <w:r w:rsidR="00007934">
        <w:t xml:space="preserve">13 </w:t>
      </w:r>
      <w:r>
        <w:t>t</w:t>
      </w:r>
      <w:r w:rsidR="00007934">
        <w:t>he number of houses being built began to pick up slowly</w:t>
      </w:r>
      <w:r>
        <w:t>,</w:t>
      </w:r>
      <w:r w:rsidR="00007934">
        <w:t xml:space="preserve"> then </w:t>
      </w:r>
      <w:r>
        <w:t xml:space="preserve">more quickly between 2014/15 and </w:t>
      </w:r>
      <w:r w:rsidR="00007934">
        <w:t>2015</w:t>
      </w:r>
      <w:r>
        <w:t>/</w:t>
      </w:r>
      <w:r w:rsidR="00007934">
        <w:t>16</w:t>
      </w:r>
      <w:r>
        <w:t xml:space="preserve">. </w:t>
      </w:r>
      <w:r w:rsidR="00D43176">
        <w:t>Across Berkshire as a whole, housebuilding levels have not quite return to the pre-crash high of 2007/8</w:t>
      </w:r>
      <w:r w:rsidR="00007934">
        <w:t xml:space="preserve">.  Mirroring the trend for England as a whole. </w:t>
      </w:r>
    </w:p>
    <w:p w14:paraId="07621462" w14:textId="77777777" w:rsidR="00007934" w:rsidRDefault="00D43176" w:rsidP="00560362">
      <w:r>
        <w:t>Within Berkshire, housebuilding in three local authority areas (</w:t>
      </w:r>
      <w:r w:rsidR="00193862">
        <w:t>Wokingham, Bracknell Forest and Windsor and Maidenhead</w:t>
      </w:r>
      <w:r>
        <w:t>) in 2016/17 surpassed the pre-crash levels achieved in 20</w:t>
      </w:r>
      <w:r w:rsidR="00007934">
        <w:t>0</w:t>
      </w:r>
      <w:r>
        <w:t>7/8</w:t>
      </w:r>
      <w:r w:rsidR="00007934">
        <w:t>.  In 2015/17, Reading’s figures surpassed those of 2007/8, falling a little in 2016/17. Housebuilding in</w:t>
      </w:r>
      <w:r w:rsidR="00193862">
        <w:t xml:space="preserve"> West Berkshire </w:t>
      </w:r>
      <w:r w:rsidR="00007934">
        <w:t>and Slough has not yet surpassed the 2007/8 highs</w:t>
      </w:r>
      <w:r w:rsidR="00193862">
        <w:t xml:space="preserve">. </w:t>
      </w:r>
      <w:r w:rsidR="00193862">
        <w:tab/>
      </w:r>
    </w:p>
    <w:p w14:paraId="70FD9A3F" w14:textId="77777777" w:rsidR="00323995" w:rsidRPr="00323995" w:rsidRDefault="00323995" w:rsidP="00323995">
      <w:pPr>
        <w:rPr>
          <w:b/>
          <w:sz w:val="24"/>
        </w:rPr>
      </w:pPr>
      <w:r w:rsidRPr="00323995">
        <w:rPr>
          <w:b/>
          <w:sz w:val="24"/>
        </w:rPr>
        <w:t xml:space="preserve">Affordable housing </w:t>
      </w:r>
    </w:p>
    <w:p w14:paraId="4C136350" w14:textId="0D346EEF" w:rsidR="00323995" w:rsidRDefault="00323995" w:rsidP="00323995">
      <w:r w:rsidRPr="00323995">
        <w:t>Data on building of affordable housing is available for 12 month and six</w:t>
      </w:r>
      <w:r>
        <w:t>-</w:t>
      </w:r>
      <w:r w:rsidRPr="00323995">
        <w:t>month periods.  Over the latest period (April - September 2018)</w:t>
      </w:r>
      <w:r>
        <w:rPr>
          <w:b/>
        </w:rPr>
        <w:t xml:space="preserve"> </w:t>
      </w:r>
      <w:r>
        <w:t xml:space="preserve">122 affordable dwellings were completed in Thames Valley </w:t>
      </w:r>
      <w:r>
        <w:lastRenderedPageBreak/>
        <w:t xml:space="preserve">Berkshire, the largest number being built in Bracknell Forest (35 dwellings) whilst none were completed in Reading. </w:t>
      </w:r>
    </w:p>
    <w:p w14:paraId="1ED5DACB" w14:textId="2DBD3B8F" w:rsidR="00323995" w:rsidRDefault="00323995" w:rsidP="00323995">
      <w:r>
        <w:t xml:space="preserve">Over the same period, </w:t>
      </w:r>
      <w:r w:rsidR="008B27F9">
        <w:t>the building of 109</w:t>
      </w:r>
      <w:r>
        <w:t xml:space="preserve"> affordable dwellings </w:t>
      </w:r>
      <w:r w:rsidR="008B27F9">
        <w:t>were started. A</w:t>
      </w:r>
      <w:r>
        <w:t xml:space="preserve">t the forefront was Windsor and Maidenhead with 57% of the affordable dwellings being started </w:t>
      </w:r>
      <w:r w:rsidR="008B27F9">
        <w:t xml:space="preserve">in this unitary </w:t>
      </w:r>
      <w:r>
        <w:t>authority</w:t>
      </w:r>
      <w:r w:rsidR="008B27F9">
        <w:t xml:space="preserve"> area</w:t>
      </w:r>
      <w:r>
        <w:t xml:space="preserve">. </w:t>
      </w:r>
    </w:p>
    <w:p w14:paraId="0D375259" w14:textId="4C1489B3" w:rsidR="00323995" w:rsidRPr="00417937" w:rsidRDefault="00323995" w:rsidP="00323995">
      <w:r>
        <w:t>In comparison to the surrounding LEPs, Thames Valley Berkshire started and completed the lowest amount of affordable housing</w:t>
      </w:r>
      <w:r w:rsidR="008B27F9">
        <w:t xml:space="preserve"> during this period. </w:t>
      </w:r>
    </w:p>
    <w:p w14:paraId="7937042D" w14:textId="77777777" w:rsidR="00193862" w:rsidRPr="00193862" w:rsidRDefault="00193862" w:rsidP="00193862"/>
    <w:p w14:paraId="412559A6" w14:textId="77777777" w:rsidR="00646430" w:rsidRDefault="00646430" w:rsidP="00F07DB2">
      <w:pPr>
        <w:rPr>
          <w:sz w:val="24"/>
        </w:rPr>
      </w:pPr>
    </w:p>
    <w:p w14:paraId="77616EF5" w14:textId="77777777" w:rsidR="008B27F9" w:rsidRDefault="008B27F9">
      <w:pPr>
        <w:rPr>
          <w:rFonts w:asciiTheme="majorHAnsi" w:eastAsiaTheme="majorEastAsia" w:hAnsiTheme="majorHAnsi" w:cstheme="majorBidi"/>
          <w:b/>
          <w:color w:val="00B0F0"/>
          <w:sz w:val="24"/>
          <w:szCs w:val="26"/>
        </w:rPr>
      </w:pPr>
      <w:r>
        <w:br w:type="page"/>
      </w:r>
    </w:p>
    <w:p w14:paraId="54759DE7" w14:textId="4AF36B1F" w:rsidR="00040F69" w:rsidRPr="00480DB7" w:rsidRDefault="00211669" w:rsidP="00480DB7">
      <w:pPr>
        <w:pStyle w:val="Heading2"/>
      </w:pPr>
      <w:r w:rsidRPr="00480DB7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FD1425D" wp14:editId="356FC328">
            <wp:simplePos x="0" y="0"/>
            <wp:positionH relativeFrom="page">
              <wp:posOffset>304800</wp:posOffset>
            </wp:positionH>
            <wp:positionV relativeFrom="paragraph">
              <wp:posOffset>447675</wp:posOffset>
            </wp:positionV>
            <wp:extent cx="6702425" cy="33337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F69" w:rsidRPr="00480DB7">
        <w:t>Table 1: Dwelling completed and started in the year</w:t>
      </w:r>
      <w:r w:rsidR="00751064" w:rsidRPr="00480DB7">
        <w:t xml:space="preserve"> </w:t>
      </w:r>
      <w:r w:rsidR="00040F69" w:rsidRPr="00480DB7">
        <w:t>to Q</w:t>
      </w:r>
      <w:r w:rsidRPr="00480DB7">
        <w:t>1</w:t>
      </w:r>
      <w:r w:rsidR="00040F69" w:rsidRPr="00480DB7">
        <w:t xml:space="preserve"> 2018</w:t>
      </w:r>
      <w:r w:rsidR="00193862" w:rsidRPr="00480DB7">
        <w:t xml:space="preserve"> in and around Berkshire</w:t>
      </w:r>
    </w:p>
    <w:p w14:paraId="28BFFD66" w14:textId="77777777" w:rsidR="00480DB7" w:rsidRDefault="00480DB7" w:rsidP="002D7C10">
      <w:pPr>
        <w:rPr>
          <w:i/>
        </w:rPr>
      </w:pPr>
    </w:p>
    <w:p w14:paraId="4A414ECF" w14:textId="77777777" w:rsidR="00DC7988" w:rsidRDefault="00751064" w:rsidP="002D7C10">
      <w:pPr>
        <w:rPr>
          <w:i/>
        </w:rPr>
      </w:pPr>
      <w:bookmarkStart w:id="0" w:name="_Hlk527712996"/>
      <w:r w:rsidRPr="00480DB7">
        <w:rPr>
          <w:i/>
        </w:rPr>
        <w:t>So</w:t>
      </w:r>
      <w:r w:rsidR="00040F69" w:rsidRPr="00480DB7">
        <w:rPr>
          <w:i/>
        </w:rPr>
        <w:t xml:space="preserve">urce: DCLG, 2018 (live tables 100 </w:t>
      </w:r>
      <w:r w:rsidR="00180DF3" w:rsidRPr="00480DB7">
        <w:rPr>
          <w:i/>
        </w:rPr>
        <w:t>&amp;</w:t>
      </w:r>
      <w:r w:rsidR="00040F69" w:rsidRPr="00480DB7">
        <w:rPr>
          <w:i/>
        </w:rPr>
        <w:t xml:space="preserve"> 253a</w:t>
      </w:r>
      <w:r w:rsidR="00180DF3" w:rsidRPr="00480DB7">
        <w:rPr>
          <w:i/>
        </w:rPr>
        <w:t>)</w:t>
      </w:r>
      <w:r w:rsidR="00040F69" w:rsidRPr="00480DB7">
        <w:rPr>
          <w:i/>
        </w:rPr>
        <w:t xml:space="preserve"> </w:t>
      </w:r>
    </w:p>
    <w:p w14:paraId="54B139CC" w14:textId="10AE2355" w:rsidR="00040F69" w:rsidRPr="00480DB7" w:rsidRDefault="00560362" w:rsidP="002D7C10">
      <w:pPr>
        <w:rPr>
          <w:i/>
        </w:rPr>
      </w:pPr>
      <w:r>
        <w:rPr>
          <w:i/>
        </w:rPr>
        <w:t>[</w:t>
      </w:r>
      <w:r w:rsidR="00585FD7">
        <w:rPr>
          <w:i/>
        </w:rPr>
        <w:t>Template designed b</w:t>
      </w:r>
      <w:r w:rsidR="00DC7988">
        <w:rPr>
          <w:i/>
        </w:rPr>
        <w:t>y</w:t>
      </w:r>
      <w:r>
        <w:rPr>
          <w:i/>
        </w:rPr>
        <w:t xml:space="preserve"> Buckinghamshire Business First</w:t>
      </w:r>
      <w:r w:rsidR="00585FD7">
        <w:rPr>
          <w:i/>
        </w:rPr>
        <w:t>]</w:t>
      </w:r>
    </w:p>
    <w:bookmarkEnd w:id="0"/>
    <w:p w14:paraId="1F0017FA" w14:textId="77777777" w:rsidR="003F5BC7" w:rsidRDefault="003F5BC7" w:rsidP="00751064">
      <w:pPr>
        <w:ind w:left="2880" w:firstLine="720"/>
        <w:rPr>
          <w:b/>
          <w:sz w:val="24"/>
        </w:rPr>
      </w:pPr>
    </w:p>
    <w:p w14:paraId="2E032CA3" w14:textId="16188230" w:rsidR="000F1625" w:rsidRDefault="000E3322" w:rsidP="00480DB7">
      <w:pPr>
        <w:pStyle w:val="Heading2"/>
      </w:pPr>
      <w:bookmarkStart w:id="1" w:name="_Table_2:_Dwelling"/>
      <w:bookmarkEnd w:id="1"/>
      <w:r w:rsidRPr="00040F69">
        <w:t>T</w:t>
      </w:r>
      <w:r w:rsidRPr="00480DB7">
        <w:t xml:space="preserve">able 2: Dwelling completed </w:t>
      </w:r>
      <w:r w:rsidR="00993E4B" w:rsidRPr="00480DB7">
        <w:t>in Q1 over the last 5 years</w:t>
      </w:r>
      <w:r w:rsidR="00193862" w:rsidRPr="00480DB7">
        <w:t xml:space="preserve"> in and around Berkshire</w:t>
      </w:r>
      <w:r w:rsidR="00211669" w:rsidRPr="00480DB7">
        <w:t xml:space="preserve"> </w:t>
      </w:r>
    </w:p>
    <w:p w14:paraId="5BD8B622" w14:textId="45471CAA" w:rsidR="00DC7988" w:rsidRPr="00DC7988" w:rsidRDefault="00DC7988" w:rsidP="00DC7988">
      <w:r w:rsidRPr="004F36EC">
        <w:rPr>
          <w:noProof/>
        </w:rPr>
        <w:drawing>
          <wp:anchor distT="0" distB="0" distL="114300" distR="114300" simplePos="0" relativeHeight="251671552" behindDoc="0" locked="0" layoutInCell="1" allowOverlap="1" wp14:anchorId="1702B9E3" wp14:editId="555BDDFB">
            <wp:simplePos x="0" y="0"/>
            <wp:positionH relativeFrom="column">
              <wp:posOffset>-548005</wp:posOffset>
            </wp:positionH>
            <wp:positionV relativeFrom="paragraph">
              <wp:posOffset>229870</wp:posOffset>
            </wp:positionV>
            <wp:extent cx="7070090" cy="2981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7DF2E" w14:textId="77777777" w:rsidR="00560362" w:rsidRPr="00480DB7" w:rsidRDefault="00560362" w:rsidP="00560362">
      <w:pPr>
        <w:rPr>
          <w:i/>
        </w:rPr>
      </w:pPr>
      <w:r w:rsidRPr="00480DB7">
        <w:rPr>
          <w:i/>
        </w:rPr>
        <w:t xml:space="preserve">Source: DCLG, 2018 (live tables 100 &amp; 253a) </w:t>
      </w:r>
    </w:p>
    <w:p w14:paraId="205AF367" w14:textId="5C38835F" w:rsidR="00193862" w:rsidRDefault="00193862">
      <w:pPr>
        <w:rPr>
          <w:b/>
          <w:sz w:val="24"/>
        </w:rPr>
      </w:pPr>
    </w:p>
    <w:p w14:paraId="46858F8C" w14:textId="4766DAC6" w:rsidR="002D7C10" w:rsidRDefault="002D7C10">
      <w:pPr>
        <w:rPr>
          <w:b/>
          <w:sz w:val="24"/>
        </w:rPr>
      </w:pPr>
    </w:p>
    <w:p w14:paraId="4FE3BEF6" w14:textId="6F21C5D2" w:rsidR="002D7C10" w:rsidRDefault="002D7C10">
      <w:pPr>
        <w:rPr>
          <w:b/>
          <w:sz w:val="24"/>
        </w:rPr>
      </w:pPr>
    </w:p>
    <w:p w14:paraId="0D479954" w14:textId="77777777" w:rsidR="00211669" w:rsidRDefault="00211669" w:rsidP="002D7C10">
      <w:pPr>
        <w:rPr>
          <w:b/>
          <w:color w:val="00B0F0"/>
          <w:sz w:val="24"/>
        </w:rPr>
      </w:pPr>
    </w:p>
    <w:p w14:paraId="152DC4C6" w14:textId="2B4B5108" w:rsidR="002D7C10" w:rsidRDefault="002D7C10" w:rsidP="00480DB7">
      <w:pPr>
        <w:pStyle w:val="Heading2"/>
      </w:pPr>
      <w:r w:rsidRPr="00040F69">
        <w:t xml:space="preserve">Table </w:t>
      </w:r>
      <w:r>
        <w:t>3</w:t>
      </w:r>
      <w:r w:rsidRPr="00040F69">
        <w:t>: Dwelling completed in the year</w:t>
      </w:r>
      <w:r w:rsidR="00211669">
        <w:t xml:space="preserve"> </w:t>
      </w:r>
      <w:r w:rsidRPr="00040F69">
        <w:t>to Q</w:t>
      </w:r>
      <w:r w:rsidR="00211669">
        <w:t>1</w:t>
      </w:r>
      <w:r w:rsidRPr="00040F69">
        <w:t xml:space="preserve"> 2018</w:t>
      </w:r>
      <w:r>
        <w:t xml:space="preserve"> by LEP area</w:t>
      </w:r>
    </w:p>
    <w:p w14:paraId="2548DBFD" w14:textId="4801EC09" w:rsidR="002D7C10" w:rsidRDefault="00560362">
      <w:pPr>
        <w:rPr>
          <w:b/>
          <w:sz w:val="24"/>
        </w:rPr>
      </w:pPr>
      <w:r w:rsidRPr="00560362">
        <w:rPr>
          <w:noProof/>
        </w:rPr>
        <w:drawing>
          <wp:inline distT="0" distB="0" distL="0" distR="0" wp14:anchorId="64CFD4E2" wp14:editId="6708646F">
            <wp:extent cx="5553075" cy="7439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A7D9" w14:textId="77777777" w:rsidR="00560362" w:rsidRPr="00480DB7" w:rsidRDefault="00560362" w:rsidP="00560362">
      <w:pPr>
        <w:rPr>
          <w:i/>
        </w:rPr>
      </w:pPr>
      <w:r w:rsidRPr="00480DB7">
        <w:rPr>
          <w:i/>
        </w:rPr>
        <w:t xml:space="preserve">Source: DCLG, 2018 (live tables 100 &amp; 253a) </w:t>
      </w:r>
    </w:p>
    <w:p w14:paraId="2F763C32" w14:textId="77777777" w:rsidR="005A2289" w:rsidRDefault="005A2289">
      <w:pPr>
        <w:rPr>
          <w:b/>
          <w:color w:val="00B0F0"/>
          <w:sz w:val="24"/>
        </w:rPr>
      </w:pPr>
    </w:p>
    <w:p w14:paraId="4485FB5E" w14:textId="77777777" w:rsidR="005A2289" w:rsidRDefault="005A2289">
      <w:pPr>
        <w:rPr>
          <w:b/>
          <w:color w:val="00B0F0"/>
          <w:sz w:val="24"/>
        </w:rPr>
      </w:pPr>
    </w:p>
    <w:p w14:paraId="71B70D68" w14:textId="77777777" w:rsidR="005A2289" w:rsidRDefault="005A2289">
      <w:pPr>
        <w:rPr>
          <w:b/>
          <w:color w:val="00B0F0"/>
          <w:sz w:val="24"/>
        </w:rPr>
      </w:pPr>
    </w:p>
    <w:p w14:paraId="7F14A987" w14:textId="6F6450A3" w:rsidR="00193862" w:rsidRPr="006757AF" w:rsidRDefault="00193862" w:rsidP="00480DB7">
      <w:pPr>
        <w:pStyle w:val="Heading2"/>
      </w:pPr>
      <w:bookmarkStart w:id="2" w:name="_Chart_1:_Dwellings"/>
      <w:bookmarkEnd w:id="2"/>
      <w:r w:rsidRPr="006757AF">
        <w:t xml:space="preserve">Chart 1: </w:t>
      </w:r>
      <w:r w:rsidR="00560362">
        <w:t>Number of d</w:t>
      </w:r>
      <w:r w:rsidRPr="006757AF">
        <w:t>wellings completed in Q1 in Thames Valley Berkshire over the last five years</w:t>
      </w:r>
    </w:p>
    <w:p w14:paraId="4A93EEFD" w14:textId="7676820F" w:rsidR="002D7C10" w:rsidRDefault="00560362">
      <w:pPr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65A53A04" wp14:editId="6F9AF9AE">
            <wp:simplePos x="0" y="0"/>
            <wp:positionH relativeFrom="column">
              <wp:posOffset>333375</wp:posOffset>
            </wp:positionH>
            <wp:positionV relativeFrom="paragraph">
              <wp:posOffset>27305</wp:posOffset>
            </wp:positionV>
            <wp:extent cx="5480685" cy="3145790"/>
            <wp:effectExtent l="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65BD6" w14:textId="77777777" w:rsidR="00560362" w:rsidRPr="00480DB7" w:rsidRDefault="00560362" w:rsidP="00560362">
      <w:pPr>
        <w:rPr>
          <w:i/>
        </w:rPr>
      </w:pPr>
      <w:r w:rsidRPr="00480DB7">
        <w:rPr>
          <w:i/>
        </w:rPr>
        <w:t xml:space="preserve">Source: DCLG, 2018 (live tables 100 &amp; 253a) </w:t>
      </w:r>
    </w:p>
    <w:p w14:paraId="5C2ECF02" w14:textId="06C9A862" w:rsidR="002D7C10" w:rsidRDefault="002D7C10">
      <w:pPr>
        <w:rPr>
          <w:b/>
          <w:sz w:val="24"/>
        </w:rPr>
      </w:pPr>
    </w:p>
    <w:p w14:paraId="322D9831" w14:textId="77777777" w:rsidR="00480DB7" w:rsidRDefault="00480DB7">
      <w:pPr>
        <w:rPr>
          <w:b/>
          <w:color w:val="00B0F0"/>
          <w:sz w:val="24"/>
        </w:rPr>
      </w:pPr>
    </w:p>
    <w:p w14:paraId="663BBBF7" w14:textId="77777777" w:rsidR="00480DB7" w:rsidRDefault="00480DB7">
      <w:pPr>
        <w:rPr>
          <w:b/>
          <w:color w:val="00B0F0"/>
          <w:sz w:val="24"/>
        </w:rPr>
      </w:pPr>
    </w:p>
    <w:p w14:paraId="4A108006" w14:textId="77777777" w:rsidR="00480DB7" w:rsidRDefault="00480DB7">
      <w:pPr>
        <w:rPr>
          <w:b/>
          <w:color w:val="00B0F0"/>
          <w:sz w:val="24"/>
        </w:rPr>
      </w:pPr>
    </w:p>
    <w:p w14:paraId="503463A6" w14:textId="77777777" w:rsidR="00480DB7" w:rsidRDefault="00480DB7">
      <w:pPr>
        <w:rPr>
          <w:b/>
          <w:color w:val="00B0F0"/>
          <w:sz w:val="24"/>
        </w:rPr>
      </w:pPr>
    </w:p>
    <w:p w14:paraId="1775C944" w14:textId="77777777" w:rsidR="00480DB7" w:rsidRDefault="00480DB7">
      <w:pPr>
        <w:rPr>
          <w:b/>
          <w:color w:val="00B0F0"/>
          <w:sz w:val="24"/>
        </w:rPr>
      </w:pPr>
    </w:p>
    <w:p w14:paraId="34272CD4" w14:textId="77777777" w:rsidR="00480DB7" w:rsidRDefault="00480DB7">
      <w:pPr>
        <w:rPr>
          <w:b/>
          <w:color w:val="00B0F0"/>
          <w:sz w:val="24"/>
        </w:rPr>
      </w:pPr>
    </w:p>
    <w:p w14:paraId="4826827F" w14:textId="77777777" w:rsidR="00480DB7" w:rsidRDefault="00480DB7">
      <w:pPr>
        <w:rPr>
          <w:b/>
          <w:color w:val="00B0F0"/>
          <w:sz w:val="24"/>
        </w:rPr>
      </w:pPr>
    </w:p>
    <w:p w14:paraId="4101B2E9" w14:textId="2E645BD7" w:rsidR="00480DB7" w:rsidRDefault="00480DB7">
      <w:pPr>
        <w:rPr>
          <w:b/>
          <w:color w:val="00B0F0"/>
          <w:sz w:val="24"/>
        </w:rPr>
      </w:pPr>
    </w:p>
    <w:p w14:paraId="5B241DA5" w14:textId="13923B47" w:rsidR="00560362" w:rsidRDefault="00560362">
      <w:pPr>
        <w:rPr>
          <w:b/>
          <w:color w:val="00B0F0"/>
          <w:sz w:val="24"/>
        </w:rPr>
      </w:pPr>
    </w:p>
    <w:p w14:paraId="6BF8E1B1" w14:textId="45F72768" w:rsidR="00560362" w:rsidRDefault="00560362">
      <w:pPr>
        <w:rPr>
          <w:b/>
          <w:color w:val="00B0F0"/>
          <w:sz w:val="24"/>
        </w:rPr>
      </w:pPr>
    </w:p>
    <w:p w14:paraId="35AF8E09" w14:textId="2AE8AD29" w:rsidR="00560362" w:rsidRDefault="00560362">
      <w:pPr>
        <w:rPr>
          <w:b/>
          <w:color w:val="00B0F0"/>
          <w:sz w:val="24"/>
        </w:rPr>
      </w:pPr>
    </w:p>
    <w:p w14:paraId="3B47D915" w14:textId="77777777" w:rsidR="00560362" w:rsidRDefault="00560362">
      <w:pPr>
        <w:rPr>
          <w:b/>
          <w:color w:val="00B0F0"/>
          <w:sz w:val="24"/>
        </w:rPr>
      </w:pPr>
    </w:p>
    <w:p w14:paraId="29F1AC80" w14:textId="77777777" w:rsidR="00480DB7" w:rsidRDefault="00480DB7">
      <w:pPr>
        <w:rPr>
          <w:b/>
          <w:color w:val="00B0F0"/>
          <w:sz w:val="24"/>
        </w:rPr>
      </w:pPr>
    </w:p>
    <w:p w14:paraId="70008656" w14:textId="77777777" w:rsidR="0027129B" w:rsidRDefault="0027129B" w:rsidP="00480DB7">
      <w:pPr>
        <w:pStyle w:val="Heading2"/>
      </w:pPr>
      <w:bookmarkStart w:id="3" w:name="_Chart_2:_Dwellings"/>
      <w:bookmarkEnd w:id="3"/>
    </w:p>
    <w:p w14:paraId="77CAC811" w14:textId="5389FECB" w:rsidR="00751064" w:rsidRDefault="00D43176" w:rsidP="00480DB7">
      <w:pPr>
        <w:pStyle w:val="Heading2"/>
      </w:pPr>
      <w:r w:rsidRPr="006757AF">
        <w:t xml:space="preserve">Chart 2: </w:t>
      </w:r>
      <w:r w:rsidR="00560362">
        <w:t>Number of d</w:t>
      </w:r>
      <w:r w:rsidRPr="006757AF">
        <w:t>wellings built per year in Berkshire’s local authority areas</w:t>
      </w:r>
    </w:p>
    <w:p w14:paraId="3D9F96AE" w14:textId="77777777" w:rsidR="00560362" w:rsidRPr="00560362" w:rsidRDefault="00560362" w:rsidP="00560362"/>
    <w:p w14:paraId="05209742" w14:textId="7DE058B6" w:rsidR="00751064" w:rsidRDefault="002D7C10" w:rsidP="006757AF">
      <w:pPr>
        <w:rPr>
          <w:i/>
        </w:rPr>
      </w:pPr>
      <w:r w:rsidRPr="00560362">
        <w:rPr>
          <w:i/>
          <w:noProof/>
          <w:sz w:val="20"/>
        </w:rPr>
        <w:drawing>
          <wp:anchor distT="0" distB="0" distL="114300" distR="114300" simplePos="0" relativeHeight="251665408" behindDoc="1" locked="0" layoutInCell="1" allowOverlap="1" wp14:anchorId="2E14370D" wp14:editId="13C71045">
            <wp:simplePos x="0" y="0"/>
            <wp:positionH relativeFrom="page">
              <wp:posOffset>664294</wp:posOffset>
            </wp:positionH>
            <wp:positionV relativeFrom="paragraph">
              <wp:posOffset>-60</wp:posOffset>
            </wp:positionV>
            <wp:extent cx="6892290" cy="3629025"/>
            <wp:effectExtent l="0" t="0" r="3810" b="0"/>
            <wp:wrapTight wrapText="bothSides">
              <wp:wrapPolygon edited="0">
                <wp:start x="0" y="0"/>
                <wp:lineTo x="0" y="21430"/>
                <wp:lineTo x="21552" y="21430"/>
                <wp:lineTo x="21552" y="0"/>
                <wp:lineTo x="0" y="0"/>
              </wp:wrapPolygon>
            </wp:wrapTight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1885C9A9-B274-446C-97A0-7B3E345F6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064" w:rsidRPr="00560362">
        <w:rPr>
          <w:i/>
        </w:rPr>
        <w:t xml:space="preserve">Source: </w:t>
      </w:r>
      <w:r w:rsidR="00560362">
        <w:rPr>
          <w:i/>
        </w:rPr>
        <w:t>BBC 2018</w:t>
      </w:r>
    </w:p>
    <w:p w14:paraId="0329390E" w14:textId="123D6E80" w:rsidR="0027129B" w:rsidRDefault="0027129B" w:rsidP="006757AF">
      <w:pPr>
        <w:rPr>
          <w:i/>
        </w:rPr>
      </w:pPr>
    </w:p>
    <w:p w14:paraId="59C4DDAB" w14:textId="7078D9A9" w:rsidR="0027129B" w:rsidRDefault="0027129B" w:rsidP="006757AF">
      <w:pPr>
        <w:rPr>
          <w:i/>
        </w:rPr>
      </w:pPr>
    </w:p>
    <w:p w14:paraId="674321DA" w14:textId="157692F9" w:rsidR="0027129B" w:rsidRDefault="0027129B" w:rsidP="006757AF">
      <w:pPr>
        <w:rPr>
          <w:i/>
        </w:rPr>
      </w:pPr>
    </w:p>
    <w:p w14:paraId="00F107B8" w14:textId="39C1C63B" w:rsidR="0027129B" w:rsidRDefault="0027129B" w:rsidP="006757AF">
      <w:pPr>
        <w:rPr>
          <w:i/>
        </w:rPr>
      </w:pPr>
    </w:p>
    <w:p w14:paraId="59DE9B9A" w14:textId="4C0443E7" w:rsidR="0027129B" w:rsidRDefault="0027129B" w:rsidP="006757AF">
      <w:pPr>
        <w:rPr>
          <w:i/>
        </w:rPr>
      </w:pPr>
    </w:p>
    <w:p w14:paraId="5AADD067" w14:textId="5920F74D" w:rsidR="0027129B" w:rsidRDefault="0027129B" w:rsidP="006757AF">
      <w:pPr>
        <w:rPr>
          <w:i/>
        </w:rPr>
      </w:pPr>
    </w:p>
    <w:p w14:paraId="60BC36C9" w14:textId="2F8EB9DA" w:rsidR="0027129B" w:rsidRDefault="0027129B" w:rsidP="006757AF">
      <w:pPr>
        <w:rPr>
          <w:i/>
        </w:rPr>
      </w:pPr>
    </w:p>
    <w:p w14:paraId="117CAB34" w14:textId="76C0968B" w:rsidR="0027129B" w:rsidRDefault="0027129B" w:rsidP="006757AF">
      <w:pPr>
        <w:rPr>
          <w:i/>
        </w:rPr>
      </w:pPr>
    </w:p>
    <w:p w14:paraId="555C5C97" w14:textId="5358DDB4" w:rsidR="0027129B" w:rsidRDefault="0027129B" w:rsidP="006757AF">
      <w:pPr>
        <w:rPr>
          <w:i/>
        </w:rPr>
      </w:pPr>
    </w:p>
    <w:p w14:paraId="133E1BDC" w14:textId="50BF75C0" w:rsidR="0027129B" w:rsidRDefault="0027129B" w:rsidP="006757AF">
      <w:pPr>
        <w:rPr>
          <w:i/>
        </w:rPr>
      </w:pPr>
    </w:p>
    <w:p w14:paraId="5C1534BE" w14:textId="34954FBD" w:rsidR="0027129B" w:rsidRDefault="0027129B" w:rsidP="006757AF">
      <w:pPr>
        <w:rPr>
          <w:i/>
        </w:rPr>
      </w:pPr>
    </w:p>
    <w:p w14:paraId="5F20E305" w14:textId="0BB21D19" w:rsidR="0027129B" w:rsidRDefault="0027129B" w:rsidP="006757AF">
      <w:pPr>
        <w:rPr>
          <w:i/>
        </w:rPr>
      </w:pPr>
    </w:p>
    <w:p w14:paraId="4B12F93C" w14:textId="31F052A2" w:rsidR="0027129B" w:rsidRDefault="0027129B" w:rsidP="006757AF">
      <w:pPr>
        <w:rPr>
          <w:i/>
        </w:rPr>
      </w:pPr>
    </w:p>
    <w:p w14:paraId="6B9ED08A" w14:textId="4A60A696" w:rsidR="0027129B" w:rsidRDefault="0027129B" w:rsidP="006757AF">
      <w:pPr>
        <w:rPr>
          <w:i/>
        </w:rPr>
      </w:pPr>
    </w:p>
    <w:p w14:paraId="5D3F95DA" w14:textId="62B2237D" w:rsidR="00D94296" w:rsidRDefault="00D94296" w:rsidP="00D94296">
      <w:pPr>
        <w:pStyle w:val="Heading2"/>
      </w:pPr>
      <w:r w:rsidRPr="00040F69">
        <w:t xml:space="preserve">Table </w:t>
      </w:r>
      <w:r>
        <w:t>4</w:t>
      </w:r>
      <w:r w:rsidRPr="00040F69">
        <w:t xml:space="preserve">: </w:t>
      </w:r>
      <w:r>
        <w:t>Affordable dwellings started between 1</w:t>
      </w:r>
      <w:r w:rsidRPr="00D94296">
        <w:rPr>
          <w:vertAlign w:val="superscript"/>
        </w:rPr>
        <w:t>st</w:t>
      </w:r>
      <w:r>
        <w:t xml:space="preserve"> April 2018 and 30</w:t>
      </w:r>
      <w:r w:rsidRPr="00D94296">
        <w:rPr>
          <w:vertAlign w:val="superscript"/>
        </w:rPr>
        <w:t>th</w:t>
      </w:r>
      <w:r>
        <w:t xml:space="preserve"> September 2018</w:t>
      </w:r>
    </w:p>
    <w:tbl>
      <w:tblPr>
        <w:tblpPr w:leftFromText="180" w:rightFromText="180" w:vertAnchor="text" w:horzAnchor="margin" w:tblpXSpec="center" w:tblpY="241"/>
        <w:tblW w:w="10840" w:type="dxa"/>
        <w:tblLook w:val="04A0" w:firstRow="1" w:lastRow="0" w:firstColumn="1" w:lastColumn="0" w:noHBand="0" w:noVBand="1"/>
      </w:tblPr>
      <w:tblGrid>
        <w:gridCol w:w="2540"/>
        <w:gridCol w:w="1240"/>
        <w:gridCol w:w="960"/>
        <w:gridCol w:w="1480"/>
        <w:gridCol w:w="1440"/>
        <w:gridCol w:w="1260"/>
        <w:gridCol w:w="960"/>
        <w:gridCol w:w="960"/>
      </w:tblGrid>
      <w:tr w:rsidR="00924C11" w:rsidRPr="00924C11" w14:paraId="49AE05DC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897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noWrap/>
            <w:vAlign w:val="bottom"/>
            <w:hideMark/>
          </w:tcPr>
          <w:p w14:paraId="01D5A0ED" w14:textId="5F483448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7B8B54A6" w14:textId="719AEB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2B3B591F" w14:textId="5F378FF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1ED6CB90" w14:textId="777777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Starts on Site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314C09DD" w14:textId="777777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4D231FC0" w14:textId="777777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5785F8FE" w14:textId="777777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24C11" w:rsidRPr="00924C11" w14:paraId="22E73BD9" w14:textId="77777777" w:rsidTr="00924C11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BE9FF"/>
            <w:noWrap/>
            <w:vAlign w:val="center"/>
            <w:hideMark/>
          </w:tcPr>
          <w:p w14:paraId="34239DB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55674D2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Affordable 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7708984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Social Rent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1FC7C3D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Intermediate Rent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4DB04740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Affordable Home Ownership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7EAA34A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 xml:space="preserve">Total Affordable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62B37CD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Market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1AC8C2D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</w:tr>
      <w:tr w:rsidR="00924C11" w:rsidRPr="00924C11" w14:paraId="525681C6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1BEFBED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Bracknell Forest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EAC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1E9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97D0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D90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EDC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3F7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61B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924C11" w:rsidRPr="00924C11" w14:paraId="574BD836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5BBD7B5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Reading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6D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36B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D3F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258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CAC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D00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0B3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924C11" w:rsidRPr="00924C11" w14:paraId="54650751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13B265A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Slough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5C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A25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B88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9267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2E1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1CC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7BE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924C11" w:rsidRPr="00924C11" w14:paraId="14121E15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42D68E8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West Berkshire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DF8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7D1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55F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953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001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A3D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149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924C11" w:rsidRPr="00924C11" w14:paraId="21A8248A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1618BFB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Windsor and Maidenhead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3F7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D73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90B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EBB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E34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1B6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937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</w:tr>
      <w:tr w:rsidR="00924C11" w:rsidRPr="00924C11" w14:paraId="32B72215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4A8E930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Wokingham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608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9F6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875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B71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CA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412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6DF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924C11" w:rsidRPr="00924C11" w14:paraId="2481A130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36A348A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3F3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BC9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8D87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F0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E0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30C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24A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4C11" w:rsidRPr="00924C11" w14:paraId="43AE57FA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1C1180B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Thames Valley Berkshire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8A8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0A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B88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96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DD5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F75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DEC7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</w:tr>
      <w:tr w:rsidR="00924C11" w:rsidRPr="00924C11" w14:paraId="5AEEEC5C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1271E9F0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670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D61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A93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5930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399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183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200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4C11" w:rsidRPr="00924C11" w14:paraId="39A03590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1AEE5F4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BTVLEP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5F0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CF7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6FE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096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5A0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C5C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AAE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</w:tr>
      <w:tr w:rsidR="00924C11" w:rsidRPr="00924C11" w14:paraId="3615F386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5233A077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Enterprise M3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D63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AE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B79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1A3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868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94A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99B7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502</w:t>
            </w:r>
          </w:p>
        </w:tc>
      </w:tr>
      <w:tr w:rsidR="00924C11" w:rsidRPr="00924C11" w14:paraId="4DFE55A0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032C20B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Oxfordshire LEP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E4F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C5B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2DD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AF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819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D58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19F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</w:tr>
      <w:tr w:rsidR="00924C11" w:rsidRPr="00924C11" w14:paraId="13F86276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3127B1B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Swindon and Wiltshire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9EF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348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43B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407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A4B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1DB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32F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357</w:t>
            </w:r>
          </w:p>
        </w:tc>
      </w:tr>
      <w:tr w:rsidR="00924C11" w:rsidRPr="00924C11" w14:paraId="1DF693A4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3AE600D7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05E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776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57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34A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0D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361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900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4C11" w:rsidRPr="00924C11" w14:paraId="56E66182" w14:textId="77777777" w:rsidTr="00924C11">
        <w:trPr>
          <w:trHeight w:val="9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178AB82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ENGLAND (Excluding non-Homes England London delivery)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F4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5,714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631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493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DD3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9D0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3,512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884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9,909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063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5,857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B144" w14:textId="330CF59A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15,766</w:t>
            </w:r>
          </w:p>
        </w:tc>
      </w:tr>
    </w:tbl>
    <w:p w14:paraId="61F02314" w14:textId="16B905C8" w:rsidR="0027129B" w:rsidRDefault="0027129B" w:rsidP="006757AF">
      <w:pPr>
        <w:rPr>
          <w:i/>
        </w:rPr>
      </w:pPr>
    </w:p>
    <w:p w14:paraId="191FEE51" w14:textId="790650B8" w:rsidR="0027129B" w:rsidRDefault="0027129B" w:rsidP="006757AF">
      <w:pPr>
        <w:rPr>
          <w:i/>
        </w:rPr>
      </w:pPr>
    </w:p>
    <w:p w14:paraId="0253A500" w14:textId="5A500E22" w:rsidR="0027129B" w:rsidRDefault="0027129B" w:rsidP="006757AF">
      <w:pPr>
        <w:rPr>
          <w:i/>
        </w:rPr>
      </w:pPr>
    </w:p>
    <w:p w14:paraId="7DFD0E53" w14:textId="2AC610A6" w:rsidR="0027129B" w:rsidRDefault="0027129B" w:rsidP="006757AF">
      <w:pPr>
        <w:rPr>
          <w:i/>
        </w:rPr>
      </w:pPr>
    </w:p>
    <w:p w14:paraId="67CAE7BC" w14:textId="18158EAA" w:rsidR="0027129B" w:rsidRDefault="0027129B" w:rsidP="006757AF">
      <w:pPr>
        <w:rPr>
          <w:i/>
        </w:rPr>
      </w:pPr>
    </w:p>
    <w:p w14:paraId="39495D3E" w14:textId="77FFC679" w:rsidR="0027129B" w:rsidRDefault="0027129B" w:rsidP="006757AF">
      <w:pPr>
        <w:rPr>
          <w:i/>
        </w:rPr>
      </w:pPr>
    </w:p>
    <w:p w14:paraId="41176D99" w14:textId="351CB1E5" w:rsidR="0027129B" w:rsidRDefault="0027129B" w:rsidP="006757AF">
      <w:pPr>
        <w:rPr>
          <w:i/>
        </w:rPr>
      </w:pPr>
    </w:p>
    <w:p w14:paraId="7FDD2867" w14:textId="62640003" w:rsidR="0027129B" w:rsidRDefault="0027129B" w:rsidP="006757AF">
      <w:pPr>
        <w:rPr>
          <w:i/>
        </w:rPr>
      </w:pPr>
    </w:p>
    <w:p w14:paraId="31615206" w14:textId="7D948F56" w:rsidR="0027129B" w:rsidRDefault="0027129B" w:rsidP="006757AF">
      <w:pPr>
        <w:rPr>
          <w:i/>
        </w:rPr>
      </w:pPr>
    </w:p>
    <w:p w14:paraId="474BCA4E" w14:textId="419CFA1D" w:rsidR="0027129B" w:rsidRDefault="0027129B" w:rsidP="006757AF">
      <w:pPr>
        <w:rPr>
          <w:i/>
        </w:rPr>
      </w:pPr>
    </w:p>
    <w:p w14:paraId="3E33F3F7" w14:textId="6A2324DE" w:rsidR="0027129B" w:rsidRDefault="0027129B" w:rsidP="006757AF">
      <w:pPr>
        <w:rPr>
          <w:i/>
        </w:rPr>
      </w:pPr>
    </w:p>
    <w:p w14:paraId="614A4631" w14:textId="2C636259" w:rsidR="0027129B" w:rsidRDefault="0027129B" w:rsidP="006757AF">
      <w:pPr>
        <w:rPr>
          <w:i/>
        </w:rPr>
      </w:pPr>
    </w:p>
    <w:p w14:paraId="66F64343" w14:textId="107F455F" w:rsidR="0027129B" w:rsidRDefault="0027129B" w:rsidP="006757AF">
      <w:pPr>
        <w:rPr>
          <w:i/>
        </w:rPr>
      </w:pPr>
    </w:p>
    <w:p w14:paraId="5E797BC1" w14:textId="43399CD2" w:rsidR="0027129B" w:rsidRDefault="0027129B" w:rsidP="006757AF">
      <w:pPr>
        <w:rPr>
          <w:i/>
        </w:rPr>
      </w:pPr>
    </w:p>
    <w:p w14:paraId="36877C87" w14:textId="7E8EE619" w:rsidR="00D94296" w:rsidRDefault="00D94296" w:rsidP="00D94296">
      <w:pPr>
        <w:pStyle w:val="Heading2"/>
      </w:pPr>
      <w:r w:rsidRPr="00040F69">
        <w:lastRenderedPageBreak/>
        <w:t xml:space="preserve">Table </w:t>
      </w:r>
      <w:r>
        <w:t>5</w:t>
      </w:r>
      <w:r w:rsidRPr="00040F69">
        <w:t xml:space="preserve">: </w:t>
      </w:r>
      <w:r>
        <w:t xml:space="preserve">Affordable dwellings </w:t>
      </w:r>
      <w:r w:rsidR="00323995">
        <w:t>completed</w:t>
      </w:r>
      <w:r>
        <w:t xml:space="preserve"> between 1</w:t>
      </w:r>
      <w:r w:rsidRPr="00D94296">
        <w:rPr>
          <w:vertAlign w:val="superscript"/>
        </w:rPr>
        <w:t>st</w:t>
      </w:r>
      <w:r>
        <w:t xml:space="preserve"> April 2018 and 30</w:t>
      </w:r>
      <w:r w:rsidRPr="00D94296">
        <w:rPr>
          <w:vertAlign w:val="superscript"/>
        </w:rPr>
        <w:t>th</w:t>
      </w:r>
      <w:r>
        <w:t xml:space="preserve"> September 2018</w:t>
      </w:r>
    </w:p>
    <w:tbl>
      <w:tblPr>
        <w:tblpPr w:leftFromText="180" w:rightFromText="180" w:vertAnchor="text" w:horzAnchor="margin" w:tblpXSpec="center" w:tblpY="300"/>
        <w:tblW w:w="10840" w:type="dxa"/>
        <w:tblLook w:val="04A0" w:firstRow="1" w:lastRow="0" w:firstColumn="1" w:lastColumn="0" w:noHBand="0" w:noVBand="1"/>
      </w:tblPr>
      <w:tblGrid>
        <w:gridCol w:w="2540"/>
        <w:gridCol w:w="1240"/>
        <w:gridCol w:w="960"/>
        <w:gridCol w:w="1480"/>
        <w:gridCol w:w="1440"/>
        <w:gridCol w:w="1260"/>
        <w:gridCol w:w="960"/>
        <w:gridCol w:w="960"/>
      </w:tblGrid>
      <w:tr w:rsidR="00924C11" w:rsidRPr="00924C11" w14:paraId="654F231A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608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4" w:name="_GoBack"/>
            <w:bookmarkEnd w:id="4"/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noWrap/>
            <w:vAlign w:val="bottom"/>
            <w:hideMark/>
          </w:tcPr>
          <w:p w14:paraId="5EE62721" w14:textId="777777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3E77F6E7" w14:textId="777777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1B47D490" w14:textId="777777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2DB24738" w14:textId="777777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Completions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2B62FDF2" w14:textId="777777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0FB4F526" w14:textId="777777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2C2D6A2E" w14:textId="77777777" w:rsidR="00924C11" w:rsidRPr="00924C11" w:rsidRDefault="00924C11" w:rsidP="0092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24C11" w:rsidRPr="00924C11" w14:paraId="49C8596D" w14:textId="77777777" w:rsidTr="00924C11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BE9FF"/>
            <w:noWrap/>
            <w:vAlign w:val="center"/>
            <w:hideMark/>
          </w:tcPr>
          <w:p w14:paraId="280285B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03D0C58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Affordable 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7B3786A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Social Rent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1C361CC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Intermediate Rent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62FB8D7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Affordable Home Ownership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676EA90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Total Affordable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E9FF"/>
            <w:vAlign w:val="center"/>
            <w:hideMark/>
          </w:tcPr>
          <w:p w14:paraId="1B5858F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 xml:space="preserve">Market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275A2EF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</w:tr>
      <w:tr w:rsidR="00924C11" w:rsidRPr="00924C11" w14:paraId="27D0196B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261B7E1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Bracknell Forest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395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101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B08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FBD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798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93F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805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</w:tr>
      <w:tr w:rsidR="00924C11" w:rsidRPr="00924C11" w14:paraId="2E1C2DCA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756BDDD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Reading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1F6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B49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0C1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FD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15F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FB1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1C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924C11" w:rsidRPr="00924C11" w14:paraId="71226A74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0A157587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Slough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790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2290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D57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FAD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1F0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607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273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924C11" w:rsidRPr="00924C11" w14:paraId="6652995F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505ADF8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West Berkshire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DDF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34D7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CE3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9B2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17D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0DD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95D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924C11" w:rsidRPr="00924C11" w14:paraId="2E3D90F9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09D2AEF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Windsor and Maidenhead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672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634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EE2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AAC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A4B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3BA7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459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924C11" w:rsidRPr="00924C11" w14:paraId="757AEB03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0AEF5A6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Wokingham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E60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791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88B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57B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6F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BC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488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924C11" w:rsidRPr="00924C11" w14:paraId="43EC439E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0796CF3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7E5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D2F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EA8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4D3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B00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4120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40E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4C11" w:rsidRPr="00924C11" w14:paraId="31DAF555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59EAE79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Thames Valley Berkshire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BA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C81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642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729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2AC7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1F8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AAF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</w:tr>
      <w:tr w:rsidR="00924C11" w:rsidRPr="00924C11" w14:paraId="3FCA0E34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38029B8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D8E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9CC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C8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BC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E7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0AF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2AC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4C11" w:rsidRPr="00924C11" w14:paraId="138BA6C2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458FA8A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BTVLEP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A8C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890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786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E70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2BA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4F4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694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</w:tr>
      <w:tr w:rsidR="00924C11" w:rsidRPr="00924C11" w14:paraId="26F21EE8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6F890B6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Enterprise M3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980D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3E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85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BCB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3C7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F9A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F28E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897</w:t>
            </w:r>
          </w:p>
        </w:tc>
      </w:tr>
      <w:tr w:rsidR="00924C11" w:rsidRPr="00924C11" w14:paraId="39BA2154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319884B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Oxfordshire LEP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69E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7B5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89D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5FF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2C6C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ECB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459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355</w:t>
            </w:r>
          </w:p>
        </w:tc>
      </w:tr>
      <w:tr w:rsidR="00924C11" w:rsidRPr="00924C11" w14:paraId="06F61FC5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349D5B13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Swindon and Wiltshire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AD4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B0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04E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ECF4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411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8098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295F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4C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</w:tr>
      <w:tr w:rsidR="00924C11" w:rsidRPr="00924C11" w14:paraId="277B7457" w14:textId="77777777" w:rsidTr="00924C1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BE9FF"/>
            <w:noWrap/>
            <w:vAlign w:val="center"/>
            <w:hideMark/>
          </w:tcPr>
          <w:p w14:paraId="2B2D7E97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3F46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20C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E6B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9B3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C201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A9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6C5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4C11" w:rsidRPr="00924C11" w14:paraId="36DAEDD7" w14:textId="77777777" w:rsidTr="00924C11">
        <w:trPr>
          <w:trHeight w:val="9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462B001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color w:val="000000"/>
                <w:lang w:eastAsia="en-GB"/>
              </w:rPr>
              <w:t>ENGLAND (Excluding non-Homes England London delivery)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BEC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7,943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061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BD09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AE7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2,832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5E9B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11,091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2372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4,613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9CAA" w14:textId="77777777" w:rsidR="00924C11" w:rsidRPr="00924C11" w:rsidRDefault="00924C11" w:rsidP="0092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24C11">
              <w:rPr>
                <w:rFonts w:ascii="Calibri" w:eastAsia="Times New Roman" w:hAnsi="Calibri" w:cs="Calibri"/>
                <w:lang w:eastAsia="en-GB"/>
              </w:rPr>
              <w:t>#####</w:t>
            </w:r>
          </w:p>
        </w:tc>
      </w:tr>
    </w:tbl>
    <w:p w14:paraId="7AB7CAD0" w14:textId="53BFA44A" w:rsidR="0027129B" w:rsidRDefault="0027129B" w:rsidP="006757AF">
      <w:pPr>
        <w:rPr>
          <w:i/>
        </w:rPr>
      </w:pPr>
    </w:p>
    <w:p w14:paraId="4AEA5439" w14:textId="0D373880" w:rsidR="0027129B" w:rsidRDefault="008A5D14" w:rsidP="006757AF">
      <w:pPr>
        <w:rPr>
          <w:i/>
        </w:rPr>
      </w:pPr>
      <w:r>
        <w:rPr>
          <w:i/>
        </w:rPr>
        <w:t xml:space="preserve">Source: </w:t>
      </w:r>
      <w:r w:rsidRPr="008A5D14">
        <w:rPr>
          <w:i/>
        </w:rPr>
        <w:t>Housing Statistics 1 April 2018 to 30 September 2018</w:t>
      </w:r>
      <w:r>
        <w:rPr>
          <w:i/>
        </w:rPr>
        <w:t>, ONS, 2018</w:t>
      </w:r>
    </w:p>
    <w:p w14:paraId="1D770C42" w14:textId="6DA01246" w:rsidR="0027129B" w:rsidRDefault="0027129B" w:rsidP="006757AF">
      <w:pPr>
        <w:rPr>
          <w:i/>
        </w:rPr>
      </w:pPr>
    </w:p>
    <w:p w14:paraId="47B83350" w14:textId="0095549D" w:rsidR="0027129B" w:rsidRDefault="0027129B" w:rsidP="006757AF">
      <w:pPr>
        <w:rPr>
          <w:i/>
        </w:rPr>
      </w:pPr>
    </w:p>
    <w:p w14:paraId="7BDBC89F" w14:textId="39AC87CE" w:rsidR="0027129B" w:rsidRDefault="0027129B" w:rsidP="006757AF">
      <w:pPr>
        <w:rPr>
          <w:i/>
        </w:rPr>
      </w:pPr>
    </w:p>
    <w:p w14:paraId="2AE2BB96" w14:textId="646526F6" w:rsidR="0027129B" w:rsidRDefault="0027129B" w:rsidP="006757AF">
      <w:pPr>
        <w:rPr>
          <w:i/>
        </w:rPr>
      </w:pPr>
    </w:p>
    <w:p w14:paraId="45B53C84" w14:textId="1DE175DE" w:rsidR="0027129B" w:rsidRDefault="0027129B" w:rsidP="006757AF">
      <w:pPr>
        <w:rPr>
          <w:i/>
        </w:rPr>
      </w:pPr>
    </w:p>
    <w:p w14:paraId="1875CE16" w14:textId="3C173C92" w:rsidR="0027129B" w:rsidRDefault="0027129B" w:rsidP="006757AF">
      <w:pPr>
        <w:rPr>
          <w:i/>
        </w:rPr>
      </w:pPr>
    </w:p>
    <w:p w14:paraId="3314A376" w14:textId="52B03E83" w:rsidR="0027129B" w:rsidRDefault="0027129B" w:rsidP="006757AF">
      <w:pPr>
        <w:rPr>
          <w:i/>
        </w:rPr>
      </w:pPr>
    </w:p>
    <w:p w14:paraId="6EB8B9ED" w14:textId="252F3205" w:rsidR="0027129B" w:rsidRDefault="0027129B" w:rsidP="006757AF">
      <w:pPr>
        <w:rPr>
          <w:i/>
        </w:rPr>
      </w:pPr>
    </w:p>
    <w:p w14:paraId="06BD8769" w14:textId="0F5C527D" w:rsidR="0027129B" w:rsidRDefault="0027129B" w:rsidP="006757AF">
      <w:pPr>
        <w:rPr>
          <w:i/>
        </w:rPr>
      </w:pPr>
    </w:p>
    <w:p w14:paraId="1FEDFA99" w14:textId="28E174CF" w:rsidR="0027129B" w:rsidRPr="00560362" w:rsidRDefault="0027129B" w:rsidP="006757AF">
      <w:pPr>
        <w:rPr>
          <w:i/>
        </w:rPr>
      </w:pPr>
      <w:r w:rsidRPr="00560362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4D5D08" wp14:editId="62BDBE1A">
                <wp:simplePos x="0" y="0"/>
                <wp:positionH relativeFrom="margin">
                  <wp:posOffset>-142875</wp:posOffset>
                </wp:positionH>
                <wp:positionV relativeFrom="paragraph">
                  <wp:posOffset>4077970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7402" w14:textId="7A5BC821" w:rsidR="001151CD" w:rsidRPr="001151CD" w:rsidRDefault="001151CD" w:rsidP="001151CD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1151CD">
                              <w:rPr>
                                <w:color w:val="808080" w:themeColor="background1" w:themeShade="80"/>
                              </w:rPr>
                              <w:t>Prepared by:</w:t>
                            </w:r>
                          </w:p>
                          <w:p w14:paraId="2E19A1AF" w14:textId="53CB03CD" w:rsidR="001151CD" w:rsidRPr="001151CD" w:rsidRDefault="001151CD" w:rsidP="001151C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1151CD">
                              <w:rPr>
                                <w:b/>
                                <w:color w:val="808080" w:themeColor="background1" w:themeShade="80"/>
                              </w:rPr>
                              <w:t>Niket Sethi</w:t>
                            </w:r>
                          </w:p>
                          <w:p w14:paraId="2E5DB4A1" w14:textId="5CA2BE31" w:rsidR="001151CD" w:rsidRPr="001151CD" w:rsidRDefault="001151CD" w:rsidP="001151C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1151CD">
                              <w:rPr>
                                <w:b/>
                                <w:color w:val="808080" w:themeColor="background1" w:themeShade="80"/>
                              </w:rPr>
                              <w:t>Research Assistant</w:t>
                            </w:r>
                          </w:p>
                          <w:p w14:paraId="6A6734F1" w14:textId="72A34CE1" w:rsidR="001151CD" w:rsidRPr="001151CD" w:rsidRDefault="001151CD" w:rsidP="001151C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1151CD">
                              <w:rPr>
                                <w:b/>
                                <w:color w:val="808080" w:themeColor="background1" w:themeShade="80"/>
                              </w:rPr>
                              <w:t>Thames Valley Berkshire LEP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D5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321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D2JRp4gAAAAsBAAAPAAAAAAAAAAAAAAAAAHsEAABkcnMvZG93&#10;bnJldi54bWxQSwUGAAAAAAQABADzAAAAigUAAAAA&#10;" stroked="f">
                <v:textbox style="mso-fit-shape-to-text:t">
                  <w:txbxContent>
                    <w:p w14:paraId="004E7402" w14:textId="7A5BC821" w:rsidR="001151CD" w:rsidRPr="001151CD" w:rsidRDefault="001151CD" w:rsidP="001151CD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1151CD">
                        <w:rPr>
                          <w:color w:val="808080" w:themeColor="background1" w:themeShade="80"/>
                        </w:rPr>
                        <w:t>Prepared by:</w:t>
                      </w:r>
                    </w:p>
                    <w:p w14:paraId="2E19A1AF" w14:textId="53CB03CD" w:rsidR="001151CD" w:rsidRPr="001151CD" w:rsidRDefault="001151CD" w:rsidP="001151C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 w:rsidRPr="001151CD">
                        <w:rPr>
                          <w:b/>
                          <w:color w:val="808080" w:themeColor="background1" w:themeShade="80"/>
                        </w:rPr>
                        <w:t>Niket Sethi</w:t>
                      </w:r>
                    </w:p>
                    <w:p w14:paraId="2E5DB4A1" w14:textId="5CA2BE31" w:rsidR="001151CD" w:rsidRPr="001151CD" w:rsidRDefault="001151CD" w:rsidP="001151C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 w:rsidRPr="001151CD">
                        <w:rPr>
                          <w:b/>
                          <w:color w:val="808080" w:themeColor="background1" w:themeShade="80"/>
                        </w:rPr>
                        <w:t>Research Assistant</w:t>
                      </w:r>
                    </w:p>
                    <w:p w14:paraId="6A6734F1" w14:textId="72A34CE1" w:rsidR="001151CD" w:rsidRPr="001151CD" w:rsidRDefault="001151CD" w:rsidP="001151C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 w:rsidRPr="001151CD">
                        <w:rPr>
                          <w:b/>
                          <w:color w:val="808080" w:themeColor="background1" w:themeShade="80"/>
                        </w:rPr>
                        <w:t>Thames Valley Berkshire LEP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29B" w:rsidRPr="0056036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F09EA" w14:textId="77777777" w:rsidR="00203B28" w:rsidRDefault="00203B28" w:rsidP="00646430">
      <w:pPr>
        <w:spacing w:after="0" w:line="240" w:lineRule="auto"/>
      </w:pPr>
      <w:r>
        <w:separator/>
      </w:r>
    </w:p>
  </w:endnote>
  <w:endnote w:type="continuationSeparator" w:id="0">
    <w:p w14:paraId="65FED372" w14:textId="77777777" w:rsidR="00203B28" w:rsidRDefault="00203B28" w:rsidP="0064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FD21" w14:textId="53C6976F" w:rsidR="00646430" w:rsidRPr="00007934" w:rsidRDefault="00646430">
    <w:pPr>
      <w:pStyle w:val="Footer"/>
      <w:rPr>
        <w:sz w:val="18"/>
      </w:rPr>
    </w:pPr>
    <w:r w:rsidRPr="00007934">
      <w:t>September 2018</w:t>
    </w:r>
  </w:p>
  <w:p w14:paraId="4C0BD1E6" w14:textId="77777777" w:rsidR="00646430" w:rsidRDefault="00646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250D" w14:textId="77777777" w:rsidR="00203B28" w:rsidRDefault="00203B28" w:rsidP="00646430">
      <w:pPr>
        <w:spacing w:after="0" w:line="240" w:lineRule="auto"/>
      </w:pPr>
      <w:r>
        <w:separator/>
      </w:r>
    </w:p>
  </w:footnote>
  <w:footnote w:type="continuationSeparator" w:id="0">
    <w:p w14:paraId="0EF2FDEB" w14:textId="77777777" w:rsidR="00203B28" w:rsidRDefault="00203B28" w:rsidP="00646430">
      <w:pPr>
        <w:spacing w:after="0" w:line="240" w:lineRule="auto"/>
      </w:pPr>
      <w:r>
        <w:continuationSeparator/>
      </w:r>
    </w:p>
  </w:footnote>
  <w:footnote w:id="1">
    <w:p w14:paraId="7212F27D" w14:textId="77777777" w:rsidR="00646430" w:rsidRPr="00560362" w:rsidRDefault="00646430">
      <w:pPr>
        <w:pStyle w:val="FootnoteText"/>
        <w:rPr>
          <w:i/>
        </w:rPr>
      </w:pPr>
      <w:r w:rsidRPr="00560362">
        <w:rPr>
          <w:rStyle w:val="FootnoteReference"/>
          <w:i/>
        </w:rPr>
        <w:footnoteRef/>
      </w:r>
      <w:r w:rsidRPr="00560362">
        <w:rPr>
          <w:i/>
        </w:rPr>
        <w:t xml:space="preserve"> Number of dwellings completed as a proportion of housing stock </w:t>
      </w:r>
    </w:p>
  </w:footnote>
  <w:footnote w:id="2">
    <w:p w14:paraId="5BED86D1" w14:textId="77777777" w:rsidR="00646430" w:rsidRDefault="00646430">
      <w:pPr>
        <w:pStyle w:val="FootnoteText"/>
      </w:pPr>
      <w:r w:rsidRPr="00560362">
        <w:rPr>
          <w:rStyle w:val="FootnoteReference"/>
          <w:i/>
        </w:rPr>
        <w:footnoteRef/>
      </w:r>
      <w:r w:rsidRPr="00560362">
        <w:rPr>
          <w:i/>
        </w:rPr>
        <w:t xml:space="preserve"> Number of dwellings started as a proportion of housing stock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0CC5" w14:textId="2BC7E7FA" w:rsidR="001151CD" w:rsidRDefault="001151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13CC22" wp14:editId="68EE8D5F">
          <wp:simplePos x="0" y="0"/>
          <wp:positionH relativeFrom="margin">
            <wp:posOffset>5010150</wp:posOffset>
          </wp:positionH>
          <wp:positionV relativeFrom="paragraph">
            <wp:posOffset>-306705</wp:posOffset>
          </wp:positionV>
          <wp:extent cx="1295400" cy="657225"/>
          <wp:effectExtent l="0" t="0" r="0" b="9525"/>
          <wp:wrapTight wrapText="bothSides">
            <wp:wrapPolygon edited="0">
              <wp:start x="0" y="0"/>
              <wp:lineTo x="0" y="21287"/>
              <wp:lineTo x="21282" y="21287"/>
              <wp:lineTo x="212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2C383" w14:textId="77777777" w:rsidR="001151CD" w:rsidRDefault="0011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139"/>
    <w:multiLevelType w:val="hybridMultilevel"/>
    <w:tmpl w:val="14D0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47D"/>
    <w:multiLevelType w:val="hybridMultilevel"/>
    <w:tmpl w:val="8C08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2335"/>
    <w:multiLevelType w:val="hybridMultilevel"/>
    <w:tmpl w:val="85FA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00345"/>
    <w:multiLevelType w:val="hybridMultilevel"/>
    <w:tmpl w:val="2FE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B2"/>
    <w:rsid w:val="00007934"/>
    <w:rsid w:val="00040F69"/>
    <w:rsid w:val="000A2DCA"/>
    <w:rsid w:val="000C0A87"/>
    <w:rsid w:val="000E0B3D"/>
    <w:rsid w:val="000E268F"/>
    <w:rsid w:val="000E3322"/>
    <w:rsid w:val="000F1625"/>
    <w:rsid w:val="001151CD"/>
    <w:rsid w:val="00131318"/>
    <w:rsid w:val="00160BC7"/>
    <w:rsid w:val="00163B98"/>
    <w:rsid w:val="00180DF3"/>
    <w:rsid w:val="00193862"/>
    <w:rsid w:val="001B369B"/>
    <w:rsid w:val="00201204"/>
    <w:rsid w:val="00203B28"/>
    <w:rsid w:val="00211669"/>
    <w:rsid w:val="0024278D"/>
    <w:rsid w:val="00261DB3"/>
    <w:rsid w:val="0027129B"/>
    <w:rsid w:val="00271489"/>
    <w:rsid w:val="002D53C8"/>
    <w:rsid w:val="002D7C10"/>
    <w:rsid w:val="00323995"/>
    <w:rsid w:val="00345D89"/>
    <w:rsid w:val="0039669D"/>
    <w:rsid w:val="003B2C54"/>
    <w:rsid w:val="003C148B"/>
    <w:rsid w:val="003C3C6C"/>
    <w:rsid w:val="003F5BC7"/>
    <w:rsid w:val="00417937"/>
    <w:rsid w:val="0044418A"/>
    <w:rsid w:val="0047585A"/>
    <w:rsid w:val="00480DB7"/>
    <w:rsid w:val="004F36EC"/>
    <w:rsid w:val="00543645"/>
    <w:rsid w:val="00560362"/>
    <w:rsid w:val="00564B64"/>
    <w:rsid w:val="005804D6"/>
    <w:rsid w:val="00585FD7"/>
    <w:rsid w:val="005A2289"/>
    <w:rsid w:val="005B269A"/>
    <w:rsid w:val="005F36B6"/>
    <w:rsid w:val="00646430"/>
    <w:rsid w:val="006757AF"/>
    <w:rsid w:val="00695B4B"/>
    <w:rsid w:val="00741C0F"/>
    <w:rsid w:val="00751064"/>
    <w:rsid w:val="00852ADA"/>
    <w:rsid w:val="00882302"/>
    <w:rsid w:val="00885FB7"/>
    <w:rsid w:val="008A5D14"/>
    <w:rsid w:val="008A7F8F"/>
    <w:rsid w:val="008B27F9"/>
    <w:rsid w:val="008C7C1A"/>
    <w:rsid w:val="00924C11"/>
    <w:rsid w:val="00993E4B"/>
    <w:rsid w:val="009E5A0B"/>
    <w:rsid w:val="00A25C74"/>
    <w:rsid w:val="00AC1CD3"/>
    <w:rsid w:val="00BB6223"/>
    <w:rsid w:val="00BC3D93"/>
    <w:rsid w:val="00C22BAD"/>
    <w:rsid w:val="00C4526F"/>
    <w:rsid w:val="00C768D1"/>
    <w:rsid w:val="00CB6689"/>
    <w:rsid w:val="00D43176"/>
    <w:rsid w:val="00D70F13"/>
    <w:rsid w:val="00D94296"/>
    <w:rsid w:val="00DC7988"/>
    <w:rsid w:val="00DD0F5A"/>
    <w:rsid w:val="00E11AF0"/>
    <w:rsid w:val="00E30D04"/>
    <w:rsid w:val="00E442C5"/>
    <w:rsid w:val="00E629F8"/>
    <w:rsid w:val="00ED3F37"/>
    <w:rsid w:val="00F07DB2"/>
    <w:rsid w:val="00F10ABD"/>
    <w:rsid w:val="00F12A1F"/>
    <w:rsid w:val="00F6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96E4"/>
  <w15:chartTrackingRefBased/>
  <w15:docId w15:val="{76229C24-BAD0-416B-B36A-7897EAD7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B0F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430"/>
  </w:style>
  <w:style w:type="paragraph" w:styleId="Footer">
    <w:name w:val="footer"/>
    <w:basedOn w:val="Normal"/>
    <w:link w:val="FooterChar"/>
    <w:uiPriority w:val="99"/>
    <w:unhideWhenUsed/>
    <w:rsid w:val="0064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430"/>
  </w:style>
  <w:style w:type="paragraph" w:styleId="BalloonText">
    <w:name w:val="Balloon Text"/>
    <w:basedOn w:val="Normal"/>
    <w:link w:val="BalloonTextChar"/>
    <w:uiPriority w:val="99"/>
    <w:semiHidden/>
    <w:unhideWhenUsed/>
    <w:rsid w:val="0064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4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64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6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4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80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0DB7"/>
    <w:rPr>
      <w:rFonts w:asciiTheme="majorHAnsi" w:eastAsiaTheme="majorEastAsia" w:hAnsiTheme="majorHAnsi" w:cstheme="majorBidi"/>
      <w:b/>
      <w:color w:val="00B0F0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480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sea\Dropbox\TVB\Data%20and%20Intelligence\Niket\Housing%20data\housing%20buuilding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'table4 '!$A$2</c:f>
              <c:strCache>
                <c:ptCount val="1"/>
                <c:pt idx="0">
                  <c:v>Wokingham UA</c:v>
                </c:pt>
              </c:strCache>
            </c:strRef>
          </c:tx>
          <c:spPr>
            <a:solidFill>
              <a:srgbClr val="FF99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'table4 '!$B$1:$L$1</c:f>
              <c:strCache>
                <c:ptCount val="11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2014-15P</c:v>
                </c:pt>
                <c:pt idx="9">
                  <c:v>2015-16</c:v>
                </c:pt>
                <c:pt idx="10">
                  <c:v>2016-17</c:v>
                </c:pt>
              </c:strCache>
            </c:strRef>
          </c:cat>
          <c:val>
            <c:numRef>
              <c:f>'table4 '!$B$2:$L$2</c:f>
              <c:numCache>
                <c:formatCode>General</c:formatCode>
                <c:ptCount val="11"/>
                <c:pt idx="0">
                  <c:v>985</c:v>
                </c:pt>
                <c:pt idx="1">
                  <c:v>455</c:v>
                </c:pt>
                <c:pt idx="2">
                  <c:v>335</c:v>
                </c:pt>
                <c:pt idx="3">
                  <c:v>193</c:v>
                </c:pt>
                <c:pt idx="4">
                  <c:v>187</c:v>
                </c:pt>
                <c:pt idx="5">
                  <c:v>273</c:v>
                </c:pt>
                <c:pt idx="6">
                  <c:v>401</c:v>
                </c:pt>
                <c:pt idx="7">
                  <c:v>493</c:v>
                </c:pt>
                <c:pt idx="8">
                  <c:v>454</c:v>
                </c:pt>
                <c:pt idx="9">
                  <c:v>638</c:v>
                </c:pt>
                <c:pt idx="10">
                  <c:v>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02-4174-9C5D-5ED9F0381406}"/>
            </c:ext>
          </c:extLst>
        </c:ser>
        <c:ser>
          <c:idx val="1"/>
          <c:order val="1"/>
          <c:tx>
            <c:strRef>
              <c:f>'table4 '!$A$3</c:f>
              <c:strCache>
                <c:ptCount val="1"/>
                <c:pt idx="0">
                  <c:v>Bracknell Forest UA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'table4 '!$B$1:$L$1</c:f>
              <c:strCache>
                <c:ptCount val="11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2014-15P</c:v>
                </c:pt>
                <c:pt idx="9">
                  <c:v>2015-16</c:v>
                </c:pt>
                <c:pt idx="10">
                  <c:v>2016-17</c:v>
                </c:pt>
              </c:strCache>
            </c:strRef>
          </c:cat>
          <c:val>
            <c:numRef>
              <c:f>'table4 '!$B$3:$L$3</c:f>
              <c:numCache>
                <c:formatCode>General</c:formatCode>
                <c:ptCount val="11"/>
                <c:pt idx="0">
                  <c:v>50</c:v>
                </c:pt>
                <c:pt idx="1">
                  <c:v>420</c:v>
                </c:pt>
                <c:pt idx="2">
                  <c:v>386</c:v>
                </c:pt>
                <c:pt idx="3">
                  <c:v>244</c:v>
                </c:pt>
                <c:pt idx="4">
                  <c:v>327</c:v>
                </c:pt>
                <c:pt idx="5">
                  <c:v>265</c:v>
                </c:pt>
                <c:pt idx="6">
                  <c:v>395</c:v>
                </c:pt>
                <c:pt idx="7">
                  <c:v>314</c:v>
                </c:pt>
                <c:pt idx="8">
                  <c:v>376</c:v>
                </c:pt>
                <c:pt idx="9">
                  <c:v>336</c:v>
                </c:pt>
                <c:pt idx="10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02-4174-9C5D-5ED9F0381406}"/>
            </c:ext>
          </c:extLst>
        </c:ser>
        <c:ser>
          <c:idx val="2"/>
          <c:order val="2"/>
          <c:tx>
            <c:strRef>
              <c:f>'table4 '!$A$4</c:f>
              <c:strCache>
                <c:ptCount val="1"/>
                <c:pt idx="0">
                  <c:v>Windsor and Maidenhead UA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'table4 '!$B$1:$L$1</c:f>
              <c:strCache>
                <c:ptCount val="11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2014-15P</c:v>
                </c:pt>
                <c:pt idx="9">
                  <c:v>2015-16</c:v>
                </c:pt>
                <c:pt idx="10">
                  <c:v>2016-17</c:v>
                </c:pt>
              </c:strCache>
            </c:strRef>
          </c:cat>
          <c:val>
            <c:numRef>
              <c:f>'table4 '!$B$4:$L$4</c:f>
              <c:numCache>
                <c:formatCode>General</c:formatCode>
                <c:ptCount val="11"/>
                <c:pt idx="0">
                  <c:v>457</c:v>
                </c:pt>
                <c:pt idx="1">
                  <c:v>546</c:v>
                </c:pt>
                <c:pt idx="2">
                  <c:v>569</c:v>
                </c:pt>
                <c:pt idx="3">
                  <c:v>449</c:v>
                </c:pt>
                <c:pt idx="4">
                  <c:v>288</c:v>
                </c:pt>
                <c:pt idx="5">
                  <c:v>177</c:v>
                </c:pt>
                <c:pt idx="6">
                  <c:v>193</c:v>
                </c:pt>
                <c:pt idx="7">
                  <c:v>360</c:v>
                </c:pt>
                <c:pt idx="8">
                  <c:v>514</c:v>
                </c:pt>
                <c:pt idx="9">
                  <c:v>602</c:v>
                </c:pt>
                <c:pt idx="10">
                  <c:v>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02-4174-9C5D-5ED9F0381406}"/>
            </c:ext>
          </c:extLst>
        </c:ser>
        <c:ser>
          <c:idx val="3"/>
          <c:order val="3"/>
          <c:tx>
            <c:strRef>
              <c:f>'table4 '!$A$5</c:f>
              <c:strCache>
                <c:ptCount val="1"/>
                <c:pt idx="0">
                  <c:v>Slough UA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'table4 '!$B$1:$L$1</c:f>
              <c:strCache>
                <c:ptCount val="11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2014-15P</c:v>
                </c:pt>
                <c:pt idx="9">
                  <c:v>2015-16</c:v>
                </c:pt>
                <c:pt idx="10">
                  <c:v>2016-17</c:v>
                </c:pt>
              </c:strCache>
            </c:strRef>
          </c:cat>
          <c:val>
            <c:numRef>
              <c:f>'table4 '!$B$5:$L$5</c:f>
              <c:numCache>
                <c:formatCode>General</c:formatCode>
                <c:ptCount val="11"/>
                <c:pt idx="0">
                  <c:v>480</c:v>
                </c:pt>
                <c:pt idx="1">
                  <c:v>1034</c:v>
                </c:pt>
                <c:pt idx="2">
                  <c:v>743</c:v>
                </c:pt>
                <c:pt idx="3">
                  <c:v>423</c:v>
                </c:pt>
                <c:pt idx="4">
                  <c:v>394</c:v>
                </c:pt>
                <c:pt idx="5">
                  <c:v>246</c:v>
                </c:pt>
                <c:pt idx="6">
                  <c:v>182</c:v>
                </c:pt>
                <c:pt idx="7">
                  <c:v>396</c:v>
                </c:pt>
                <c:pt idx="8">
                  <c:v>471</c:v>
                </c:pt>
                <c:pt idx="9">
                  <c:v>789</c:v>
                </c:pt>
                <c:pt idx="10">
                  <c:v>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02-4174-9C5D-5ED9F0381406}"/>
            </c:ext>
          </c:extLst>
        </c:ser>
        <c:ser>
          <c:idx val="4"/>
          <c:order val="4"/>
          <c:tx>
            <c:strRef>
              <c:f>'table4 '!$A$6</c:f>
              <c:strCache>
                <c:ptCount val="1"/>
                <c:pt idx="0">
                  <c:v>West Berkshire UA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'table4 '!$B$1:$L$1</c:f>
              <c:strCache>
                <c:ptCount val="11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2014-15P</c:v>
                </c:pt>
                <c:pt idx="9">
                  <c:v>2015-16</c:v>
                </c:pt>
                <c:pt idx="10">
                  <c:v>2016-17</c:v>
                </c:pt>
              </c:strCache>
            </c:strRef>
          </c:cat>
          <c:val>
            <c:numRef>
              <c:f>'table4 '!$B$6:$L$6</c:f>
              <c:numCache>
                <c:formatCode>General</c:formatCode>
                <c:ptCount val="11"/>
                <c:pt idx="0">
                  <c:v>1045</c:v>
                </c:pt>
                <c:pt idx="1">
                  <c:v>664</c:v>
                </c:pt>
                <c:pt idx="2">
                  <c:v>509</c:v>
                </c:pt>
                <c:pt idx="3">
                  <c:v>227</c:v>
                </c:pt>
                <c:pt idx="4">
                  <c:v>180</c:v>
                </c:pt>
                <c:pt idx="5">
                  <c:v>162</c:v>
                </c:pt>
                <c:pt idx="6">
                  <c:v>552</c:v>
                </c:pt>
                <c:pt idx="7">
                  <c:v>447</c:v>
                </c:pt>
                <c:pt idx="8">
                  <c:v>496</c:v>
                </c:pt>
                <c:pt idx="9">
                  <c:v>625</c:v>
                </c:pt>
                <c:pt idx="10">
                  <c:v>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02-4174-9C5D-5ED9F0381406}"/>
            </c:ext>
          </c:extLst>
        </c:ser>
        <c:ser>
          <c:idx val="5"/>
          <c:order val="5"/>
          <c:tx>
            <c:strRef>
              <c:f>'table4 '!$A$7</c:f>
              <c:strCache>
                <c:ptCount val="1"/>
                <c:pt idx="0">
                  <c:v>Reading UA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'table4 '!$B$1:$L$1</c:f>
              <c:strCache>
                <c:ptCount val="11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2014-15P</c:v>
                </c:pt>
                <c:pt idx="9">
                  <c:v>2015-16</c:v>
                </c:pt>
                <c:pt idx="10">
                  <c:v>2016-17</c:v>
                </c:pt>
              </c:strCache>
            </c:strRef>
          </c:cat>
          <c:val>
            <c:numRef>
              <c:f>'table4 '!$B$7:$L$7</c:f>
              <c:numCache>
                <c:formatCode>General</c:formatCode>
                <c:ptCount val="11"/>
                <c:pt idx="0">
                  <c:v>546</c:v>
                </c:pt>
                <c:pt idx="1">
                  <c:v>746</c:v>
                </c:pt>
                <c:pt idx="2">
                  <c:v>691</c:v>
                </c:pt>
                <c:pt idx="3">
                  <c:v>602</c:v>
                </c:pt>
                <c:pt idx="4">
                  <c:v>308</c:v>
                </c:pt>
                <c:pt idx="5">
                  <c:v>307</c:v>
                </c:pt>
                <c:pt idx="6">
                  <c:v>444</c:v>
                </c:pt>
                <c:pt idx="7">
                  <c:v>361</c:v>
                </c:pt>
                <c:pt idx="8">
                  <c:v>635</c:v>
                </c:pt>
                <c:pt idx="9">
                  <c:v>751</c:v>
                </c:pt>
                <c:pt idx="10">
                  <c:v>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D02-4174-9C5D-5ED9F038140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16799120"/>
        <c:axId val="416796824"/>
      </c:barChart>
      <c:catAx>
        <c:axId val="41679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796824"/>
        <c:crosses val="autoZero"/>
        <c:auto val="1"/>
        <c:lblAlgn val="ctr"/>
        <c:lblOffset val="100"/>
        <c:noMultiLvlLbl val="0"/>
      </c:catAx>
      <c:valAx>
        <c:axId val="416796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79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CBBC-0424-4A13-9A8C-98B94B6C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Niket Sethi</dc:creator>
  <cp:keywords/>
  <dc:description/>
  <cp:lastModifiedBy>Niket Sethi</cp:lastModifiedBy>
  <cp:revision>3</cp:revision>
  <dcterms:created xsi:type="dcterms:W3CDTF">2018-12-07T09:55:00Z</dcterms:created>
  <dcterms:modified xsi:type="dcterms:W3CDTF">2018-12-07T10:05:00Z</dcterms:modified>
</cp:coreProperties>
</file>